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55" w:rsidRDefault="00743F0B">
      <w:pPr>
        <w:contextualSpacing w:v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Chapter 6</w:t>
      </w:r>
    </w:p>
    <w:p w:rsidR="001F7855" w:rsidRDefault="00743F0B">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Diversity in College Science with Active Learning</w:t>
      </w:r>
    </w:p>
    <w:p w:rsidR="001F7855" w:rsidRDefault="00743F0B">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Cissy J. </w:t>
      </w:r>
      <w:proofErr w:type="spellStart"/>
      <w:r>
        <w:rPr>
          <w:rFonts w:ascii="Times New Roman" w:eastAsia="Times New Roman" w:hAnsi="Times New Roman" w:cs="Times New Roman"/>
          <w:sz w:val="24"/>
          <w:szCs w:val="24"/>
        </w:rPr>
        <w:t>Ballen</w:t>
      </w:r>
      <w:proofErr w:type="spellEnd"/>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Growing evidence supports active learning as a more effective means for teaching students than the traditional, arena-style lecturing that has dominated teaching in higher education for centuries. Among the documented populations most benefited are those students who are underrepresented in science, technology, engineering, and mathematics (STEM) fields, such as women, racial/ethnic minorities, students ‘at risk’ of failing or withdrawing from the class based on incoming preparation, among others. In this chapter, I describe how and why active learning, coupled with equitable teaching strategies, effectively enhances diversity in college science classes. I conclude with suggested approaches to evaluating the ‘climate’ of your own classroom. Through the use of evidence-based resources and pedagogies, instructors can foster an inclusive undergraduate environment for teaching and learning in undergraduate STEM.</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delivery of content in a classroom has big impacts on student learning. Within the science classrooms that are meant to prepare students for the scientific workforce, data show they also serve to filter certain students out of opportunities to advance. One notable feature of the filtration process is that certain students are more likely to be negatively impacted than others. In some environments, attributes such as incoming measures of preparation, gender, race, and socioeconomic status are strong predictors of grades (Figure 6.1) (</w:t>
      </w: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&amp; Mason 2017; </w:t>
      </w:r>
      <w:proofErr w:type="spellStart"/>
      <w:r>
        <w:rPr>
          <w:rFonts w:ascii="Times New Roman" w:eastAsia="Times New Roman" w:hAnsi="Times New Roman" w:cs="Times New Roman"/>
          <w:sz w:val="24"/>
          <w:szCs w:val="24"/>
        </w:rPr>
        <w:t>Matz</w:t>
      </w:r>
      <w:proofErr w:type="spellEnd"/>
      <w:r>
        <w:rPr>
          <w:rFonts w:ascii="Times New Roman" w:eastAsia="Times New Roman" w:hAnsi="Times New Roman" w:cs="Times New Roman"/>
          <w:sz w:val="24"/>
          <w:szCs w:val="24"/>
        </w:rPr>
        <w:t xml:space="preserve"> et al. 2017). These student traits dictate which individuals thrive in higher education, and through performance outcomes and classroom climate, communicate to others that they are not ‘cut out’ for science. If such measures predict these outcomes, and most strongly in introductory courses, why do we continue to encourage all students to pursue science in higher education? This is, of course, a ridiculous notion. It is unquestionably a desirable outcome for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 xml:space="preserve">to learn and be evaluated without the disadvantage of institutional discrimination. In this case, “discrimination” includes the </w:t>
      </w:r>
      <w:r>
        <w:rPr>
          <w:rFonts w:ascii="Times New Roman" w:eastAsia="Times New Roman" w:hAnsi="Times New Roman" w:cs="Times New Roman"/>
          <w:i/>
          <w:sz w:val="24"/>
          <w:szCs w:val="24"/>
        </w:rPr>
        <w:t>absence</w:t>
      </w:r>
      <w:r>
        <w:rPr>
          <w:rFonts w:ascii="Times New Roman" w:eastAsia="Times New Roman" w:hAnsi="Times New Roman" w:cs="Times New Roman"/>
          <w:sz w:val="24"/>
          <w:szCs w:val="24"/>
        </w:rPr>
        <w:t xml:space="preserve"> of support structures inherently supportive of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students, not just those already poised for success because of their background or identity. </w:t>
      </w:r>
    </w:p>
    <w:p w:rsidR="001F7855" w:rsidRDefault="001F7855">
      <w:pPr>
        <w:contextualSpacing w:val="0"/>
        <w:jc w:val="both"/>
        <w:rPr>
          <w:rFonts w:ascii="Times New Roman" w:eastAsia="Times New Roman" w:hAnsi="Times New Roman" w:cs="Times New Roman"/>
          <w:sz w:val="24"/>
          <w:szCs w:val="24"/>
        </w:rPr>
      </w:pPr>
    </w:p>
    <w:p w:rsidR="001F7855" w:rsidRDefault="00743F0B">
      <w:pPr>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6.1</w:t>
      </w:r>
    </w:p>
    <w:p w:rsidR="001F7855" w:rsidRDefault="00743F0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In 2015, the Supreme Court ruled on a landmark case colloquially known as </w:t>
      </w:r>
      <w:r>
        <w:rPr>
          <w:rFonts w:ascii="Times New Roman" w:eastAsia="Times New Roman" w:hAnsi="Times New Roman" w:cs="Times New Roman"/>
          <w:i/>
          <w:sz w:val="24"/>
          <w:szCs w:val="24"/>
        </w:rPr>
        <w:t>Inclusive Communities,</w:t>
      </w:r>
      <w:r>
        <w:rPr>
          <w:rFonts w:ascii="Times New Roman" w:eastAsia="Times New Roman" w:hAnsi="Times New Roman" w:cs="Times New Roman"/>
          <w:sz w:val="24"/>
          <w:szCs w:val="24"/>
        </w:rPr>
        <w:t xml:space="preserve"> which centered on whether the Texas Department of Housing and Community Affairs had to be </w:t>
      </w:r>
      <w:r>
        <w:rPr>
          <w:rFonts w:ascii="Times New Roman" w:eastAsia="Times New Roman" w:hAnsi="Times New Roman" w:cs="Times New Roman"/>
          <w:i/>
          <w:sz w:val="24"/>
          <w:szCs w:val="24"/>
        </w:rPr>
        <w:t>deliberately</w:t>
      </w:r>
      <w:r>
        <w:rPr>
          <w:rFonts w:ascii="Times New Roman" w:eastAsia="Times New Roman" w:hAnsi="Times New Roman" w:cs="Times New Roman"/>
          <w:sz w:val="24"/>
          <w:szCs w:val="24"/>
        </w:rPr>
        <w:t xml:space="preserve"> discriminating against minorities to be found unlawful (</w:t>
      </w:r>
      <w:proofErr w:type="spellStart"/>
      <w:r>
        <w:rPr>
          <w:rFonts w:ascii="Times New Roman" w:eastAsia="Times New Roman" w:hAnsi="Times New Roman" w:cs="Times New Roman"/>
          <w:sz w:val="24"/>
          <w:szCs w:val="24"/>
        </w:rPr>
        <w:t>Schwemm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2015). It was evident that certain housing practices may not have been intentionally discriminatory, but they had discriminatory outcomes—specifically, that certain policies led to racial segregation in Texas. The court ruled that practices leading to outcomes that adversely affect one group of people more than another </w:t>
      </w:r>
      <w:r>
        <w:rPr>
          <w:rFonts w:ascii="Times New Roman" w:eastAsia="Times New Roman" w:hAnsi="Times New Roman" w:cs="Times New Roman"/>
          <w:i/>
          <w:sz w:val="24"/>
          <w:szCs w:val="24"/>
        </w:rPr>
        <w:t xml:space="preserve">are </w:t>
      </w:r>
      <w:r>
        <w:rPr>
          <w:rFonts w:ascii="Times New Roman" w:eastAsia="Times New Roman" w:hAnsi="Times New Roman" w:cs="Times New Roman"/>
          <w:sz w:val="24"/>
          <w:szCs w:val="24"/>
        </w:rPr>
        <w:t xml:space="preserve">unlawful, even if those practices are formally ‘equal’. Similarly, if students are opting out of a discipline due to a lack of support structures, even if those shortages are not deliberate, we must continue to advocate for teaching and assessment strategies and policies to combat observed performance and persistence gaps (I. </w:t>
      </w:r>
      <w:proofErr w:type="spellStart"/>
      <w:r>
        <w:rPr>
          <w:rFonts w:ascii="Times New Roman" w:eastAsia="Times New Roman" w:hAnsi="Times New Roman" w:cs="Times New Roman"/>
          <w:sz w:val="24"/>
          <w:szCs w:val="24"/>
        </w:rPr>
        <w:t>Genao</w:t>
      </w:r>
      <w:proofErr w:type="spellEnd"/>
      <w:r>
        <w:rPr>
          <w:rFonts w:ascii="Times New Roman" w:eastAsia="Times New Roman" w:hAnsi="Times New Roman" w:cs="Times New Roman"/>
          <w:sz w:val="24"/>
          <w:szCs w:val="24"/>
        </w:rPr>
        <w:t xml:space="preserve">, 2018; T. McKay, </w:t>
      </w:r>
      <w:r>
        <w:rPr>
          <w:rFonts w:ascii="Times New Roman" w:eastAsia="Times New Roman" w:hAnsi="Times New Roman" w:cs="Times New Roman"/>
          <w:i/>
          <w:sz w:val="24"/>
          <w:szCs w:val="24"/>
        </w:rPr>
        <w:t>Personal communication</w:t>
      </w:r>
      <w:r>
        <w:rPr>
          <w:rFonts w:ascii="Times New Roman" w:eastAsia="Times New Roman" w:hAnsi="Times New Roman" w:cs="Times New Roman"/>
          <w:sz w:val="24"/>
          <w:szCs w:val="24"/>
        </w:rPr>
        <w:t xml:space="preserve">, October 8, 2018). For example, if performance outcomes differ for two classes of students, e.g., men and women, and this difference can be predicted by their identities, it is the systemic deficit that needs to be addressed, not the student deficit. Institutions have responded by pointing to differences in ‘preparation’ as the explanation for observed gaps, and therefore differences are simply </w:t>
      </w:r>
      <w:r>
        <w:rPr>
          <w:rFonts w:ascii="Times New Roman" w:eastAsia="Times New Roman" w:hAnsi="Times New Roman" w:cs="Times New Roman"/>
          <w:i/>
          <w:sz w:val="24"/>
          <w:szCs w:val="24"/>
        </w:rPr>
        <w:t>not their problem</w:t>
      </w:r>
      <w:r>
        <w:rPr>
          <w:rFonts w:ascii="Times New Roman" w:eastAsia="Times New Roman" w:hAnsi="Times New Roman" w:cs="Times New Roman"/>
          <w:sz w:val="24"/>
          <w:szCs w:val="24"/>
        </w:rPr>
        <w:t>. But those measures of preparation may</w:t>
      </w:r>
      <w:r>
        <w:rPr>
          <w:rFonts w:ascii="Times New Roman" w:eastAsia="Times New Roman" w:hAnsi="Times New Roman" w:cs="Times New Roman"/>
          <w:color w:val="222222"/>
          <w:sz w:val="24"/>
          <w:szCs w:val="24"/>
        </w:rPr>
        <w:t xml:space="preserve"> also be affected by the same hindrances which affect performance in higher education. The very purpose of an introductory science course is to ensure that all students have an equal opportunity to master that content, not to communicate superior competency to those whose state of knowledge was higher when they first arrived to the classroom.</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Research on this topic that has assessed the fit of teaching methods shows that the increasingly diverse study body demands exposure to adaptive instructional methods. It also requires continued empirical assessment of factors that either promote or counter equity in undergraduate science, technology, engineering, and math (STEM) (C. A. Brewer &amp; Smith, 2011; National Academies of </w:t>
      </w:r>
      <w:proofErr w:type="gramStart"/>
      <w:r>
        <w:rPr>
          <w:rFonts w:ascii="Times New Roman" w:eastAsia="Times New Roman" w:hAnsi="Times New Roman" w:cs="Times New Roman"/>
          <w:sz w:val="24"/>
          <w:szCs w:val="24"/>
        </w:rPr>
        <w:t>Sciences  and</w:t>
      </w:r>
      <w:proofErr w:type="gramEnd"/>
      <w:r>
        <w:rPr>
          <w:rFonts w:ascii="Times New Roman" w:eastAsia="Times New Roman" w:hAnsi="Times New Roman" w:cs="Times New Roman"/>
          <w:sz w:val="24"/>
          <w:szCs w:val="24"/>
        </w:rPr>
        <w:t xml:space="preserve"> Medicine, 2016). While over one hundred studies have examined the impacts of active learning pedagogy (ALP) on measures of pooled class performance outcomes (Scott Freeman et al. 2014), few have focused specifically on its effects on underrepresented students. The combined consensus indicates that ALP has positive impact on underrepresented students. Table 6.1 presents examples of research supporting this assertion across different STEM disciplines. Thus, identifying the ingredients of ALP that contribute to targeted student learning outcomes which support our national efforts to promote and retain those historically underrepresented in science can help us ultimately strengthen the scientific workforce. Experimenting with these ingredients at scale will be one of the next frontiers of discipline-based education research.</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61. Peer reviewed studies that show active learning pedagogy (ALP) has a positive impact on underrepresented students.</w:t>
      </w:r>
    </w:p>
    <w:tbl>
      <w:tblPr>
        <w:tblStyle w:val="a"/>
        <w:tblW w:w="93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00"/>
        <w:gridCol w:w="2685"/>
        <w:gridCol w:w="2775"/>
        <w:gridCol w:w="2370"/>
      </w:tblGrid>
      <w:tr w:rsidR="001F7855">
        <w:trPr>
          <w:trHeight w:val="1240"/>
        </w:trPr>
        <w:tc>
          <w:tcPr>
            <w:tcW w:w="1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Discipline</w:t>
            </w:r>
          </w:p>
        </w:tc>
        <w:tc>
          <w:tcPr>
            <w:tcW w:w="2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(year)</w:t>
            </w:r>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Highlighted benefitting population</w:t>
            </w:r>
          </w:p>
        </w:tc>
        <w:tc>
          <w:tcPr>
            <w:tcW w:w="2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Outcome measures</w:t>
            </w:r>
          </w:p>
        </w:tc>
      </w:tr>
      <w:tr w:rsidR="001F7855">
        <w:trPr>
          <w:trHeight w:val="262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color w:val="282323"/>
                <w:sz w:val="24"/>
                <w:szCs w:val="24"/>
              </w:rPr>
            </w:pPr>
            <w:r>
              <w:rPr>
                <w:rFonts w:ascii="Times New Roman" w:eastAsia="Times New Roman" w:hAnsi="Times New Roman" w:cs="Times New Roman"/>
                <w:color w:val="282323"/>
                <w:sz w:val="24"/>
                <w:szCs w:val="24"/>
              </w:rPr>
              <w:lastRenderedPageBreak/>
              <w:t>Biology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structure and active learning reduce the achievement gap in introductory biology. (2011)</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color w:val="282323"/>
                <w:sz w:val="24"/>
                <w:szCs w:val="24"/>
              </w:rPr>
            </w:pPr>
            <w:r>
              <w:rPr>
                <w:rFonts w:ascii="Times New Roman" w:eastAsia="Times New Roman" w:hAnsi="Times New Roman" w:cs="Times New Roman"/>
                <w:color w:val="282323"/>
                <w:sz w:val="24"/>
                <w:szCs w:val="24"/>
              </w:rPr>
              <w:t>Students from educationally or economically disadvantaged backgrounds; most first in their family to attend college</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color w:val="282323"/>
                <w:sz w:val="24"/>
                <w:szCs w:val="24"/>
              </w:rPr>
            </w:pPr>
            <w:r>
              <w:rPr>
                <w:rFonts w:ascii="Times New Roman" w:eastAsia="Times New Roman" w:hAnsi="Times New Roman" w:cs="Times New Roman"/>
                <w:color w:val="282323"/>
                <w:sz w:val="24"/>
                <w:szCs w:val="24"/>
              </w:rPr>
              <w:t>Final course grade</w:t>
            </w:r>
          </w:p>
        </w:tc>
      </w:tr>
      <w:tr w:rsidR="001F7855">
        <w:trPr>
          <w:trHeight w:val="262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diversity in undergraduate science: Self-efficacy drives performance gains with active learning. (2017)</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Underrepresented minority students, including African American, </w:t>
            </w:r>
            <w:proofErr w:type="spellStart"/>
            <w:r>
              <w:rPr>
                <w:rFonts w:ascii="Times New Roman" w:eastAsia="Times New Roman" w:hAnsi="Times New Roman" w:cs="Times New Roman"/>
                <w:sz w:val="24"/>
                <w:szCs w:val="24"/>
              </w:rPr>
              <w:t>Latinx</w:t>
            </w:r>
            <w:proofErr w:type="spellEnd"/>
            <w:r>
              <w:rPr>
                <w:rFonts w:ascii="Times New Roman" w:eastAsia="Times New Roman" w:hAnsi="Times New Roman" w:cs="Times New Roman"/>
                <w:sz w:val="24"/>
                <w:szCs w:val="24"/>
              </w:rPr>
              <w:t>, Native American, Pacific Islander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course grade; Knowledge Assessment Instrument (developed by instructors)</w:t>
            </w:r>
          </w:p>
        </w:tc>
      </w:tr>
      <w:tr w:rsidR="001F7855">
        <w:trPr>
          <w:trHeight w:val="332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student-centered activities for large enrollment undergraduate programs (SCALE-UP) project. Research-based reform of university physics. (2007)</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Americans, Women</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rate</w:t>
            </w:r>
          </w:p>
        </w:tc>
      </w:tr>
      <w:tr w:rsidR="001F7855">
        <w:trPr>
          <w:trHeight w:val="254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Getting under the hood: how and for whom does increasing course structure work? (2014)</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African Americans, first-generation college-going</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exam points;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Course and exam failure rates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F7855">
        <w:trPr>
          <w:trHeight w:val="326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Biology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Prescribed active learning increases performance in introductory biology. (2007)</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“high-risk students”—defined as those with relatively low predicted grades according to risk analysis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exam points;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Course failure rates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F7855">
        <w:trPr>
          <w:trHeight w:val="258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the gender gap in the physics classroom. (2006)</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 Concept Inventory (</w:t>
            </w:r>
            <w:proofErr w:type="spellStart"/>
            <w:r>
              <w:rPr>
                <w:rFonts w:ascii="Times New Roman" w:eastAsia="Times New Roman" w:hAnsi="Times New Roman" w:cs="Times New Roman"/>
                <w:sz w:val="24"/>
                <w:szCs w:val="24"/>
              </w:rPr>
              <w:t>Hestenes</w:t>
            </w:r>
            <w:proofErr w:type="spellEnd"/>
            <w:r>
              <w:rPr>
                <w:rFonts w:ascii="Times New Roman" w:eastAsia="Times New Roman" w:hAnsi="Times New Roman" w:cs="Times New Roman"/>
                <w:sz w:val="24"/>
                <w:szCs w:val="24"/>
              </w:rPr>
              <w:t xml:space="preserve">, Wells, &amp; </w:t>
            </w:r>
            <w:proofErr w:type="spellStart"/>
            <w:r>
              <w:rPr>
                <w:rFonts w:ascii="Times New Roman" w:eastAsia="Times New Roman" w:hAnsi="Times New Roman" w:cs="Times New Roman"/>
                <w:sz w:val="24"/>
                <w:szCs w:val="24"/>
              </w:rPr>
              <w:t>Swackhamer</w:t>
            </w:r>
            <w:proofErr w:type="spellEnd"/>
            <w:r>
              <w:rPr>
                <w:rFonts w:ascii="Times New Roman" w:eastAsia="Times New Roman" w:hAnsi="Times New Roman" w:cs="Times New Roman"/>
                <w:sz w:val="24"/>
                <w:szCs w:val="24"/>
              </w:rPr>
              <w:t>, 1992)</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F7855">
        <w:trPr>
          <w:trHeight w:val="292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Chemistry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Retention and Reform: An Evaluation of Peer-Led Team Learning (2011)</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Underrepresented minority students</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 rates;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Chemical Society Exam (American Chemical Society Division of Education, 2002)</w:t>
            </w:r>
          </w:p>
        </w:tc>
      </w:tr>
      <w:tr w:rsidR="001F7855">
        <w:trPr>
          <w:trHeight w:val="258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Physics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Examining issues of underrepresented minority students in introductory physics</w:t>
            </w:r>
            <w:r>
              <w:rPr>
                <w:rFonts w:ascii="Times New Roman" w:eastAsia="Times New Roman" w:hAnsi="Times New Roman" w:cs="Times New Roman"/>
                <w:sz w:val="24"/>
                <w:szCs w:val="24"/>
                <w:highlight w:val="white"/>
              </w:rPr>
              <w:t>. (2010)</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 Concept Inventory (</w:t>
            </w:r>
            <w:proofErr w:type="spellStart"/>
            <w:r>
              <w:rPr>
                <w:rFonts w:ascii="Times New Roman" w:eastAsia="Times New Roman" w:hAnsi="Times New Roman" w:cs="Times New Roman"/>
                <w:sz w:val="24"/>
                <w:szCs w:val="24"/>
              </w:rPr>
              <w:t>Hestenes</w:t>
            </w:r>
            <w:proofErr w:type="spellEnd"/>
            <w:r>
              <w:rPr>
                <w:rFonts w:ascii="Times New Roman" w:eastAsia="Times New Roman" w:hAnsi="Times New Roman" w:cs="Times New Roman"/>
                <w:sz w:val="24"/>
                <w:szCs w:val="24"/>
              </w:rPr>
              <w:t xml:space="preserve">, Wells, &amp; </w:t>
            </w:r>
            <w:proofErr w:type="spellStart"/>
            <w:r>
              <w:rPr>
                <w:rFonts w:ascii="Times New Roman" w:eastAsia="Times New Roman" w:hAnsi="Times New Roman" w:cs="Times New Roman"/>
                <w:sz w:val="24"/>
                <w:szCs w:val="24"/>
              </w:rPr>
              <w:t>Swackhamer</w:t>
            </w:r>
            <w:proofErr w:type="spellEnd"/>
            <w:r>
              <w:rPr>
                <w:rFonts w:ascii="Times New Roman" w:eastAsia="Times New Roman" w:hAnsi="Times New Roman" w:cs="Times New Roman"/>
                <w:sz w:val="24"/>
                <w:szCs w:val="24"/>
              </w:rPr>
              <w:t>, 1992)</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F7855">
        <w:trPr>
          <w:trHeight w:val="5000"/>
        </w:trPr>
        <w:tc>
          <w:tcPr>
            <w:tcW w:w="1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Physics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Introductory physics gender gaps: Pre and post-Studio transition (2009)</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grades; D grade, fail, or withdrawal rates; Conceptual Survey of Electricity and Magnetism (Maloney, </w:t>
            </w:r>
            <w:proofErr w:type="spellStart"/>
            <w:r>
              <w:rPr>
                <w:rFonts w:ascii="Times New Roman" w:eastAsia="Times New Roman" w:hAnsi="Times New Roman" w:cs="Times New Roman"/>
                <w:sz w:val="24"/>
                <w:szCs w:val="24"/>
              </w:rPr>
              <w:t>O’Kuma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Hieggelke</w:t>
            </w:r>
            <w:proofErr w:type="spellEnd"/>
            <w:r>
              <w:rPr>
                <w:rFonts w:ascii="Times New Roman" w:eastAsia="Times New Roman" w:hAnsi="Times New Roman" w:cs="Times New Roman"/>
                <w:sz w:val="24"/>
                <w:szCs w:val="24"/>
              </w:rPr>
              <w:t xml:space="preserve">, &amp; Van </w:t>
            </w:r>
            <w:proofErr w:type="spellStart"/>
            <w:r>
              <w:rPr>
                <w:rFonts w:ascii="Times New Roman" w:eastAsia="Times New Roman" w:hAnsi="Times New Roman" w:cs="Times New Roman"/>
                <w:sz w:val="24"/>
                <w:szCs w:val="24"/>
              </w:rPr>
              <w:t>Heuvelen</w:t>
            </w:r>
            <w:proofErr w:type="spellEnd"/>
            <w:r>
              <w:rPr>
                <w:rFonts w:ascii="Times New Roman" w:eastAsia="Times New Roman" w:hAnsi="Times New Roman" w:cs="Times New Roman"/>
                <w:sz w:val="24"/>
                <w:szCs w:val="24"/>
              </w:rPr>
              <w:t>, 2001)</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1F7855" w:rsidRDefault="00743F0B">
      <w:pPr>
        <w:contextualSpacing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1F7855" w:rsidRDefault="00743F0B">
      <w:pPr>
        <w:contextualSpacing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Who are underrepresented in science?</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more than ever, universities face the unique challenge of meeting the educational needs of the most culturally and ethnically diverse group of students. The racial and ethnic diversity of the United States population is projected to increase in future decades (Colby &amp; </w:t>
      </w:r>
      <w:proofErr w:type="spellStart"/>
      <w:r>
        <w:rPr>
          <w:rFonts w:ascii="Times New Roman" w:eastAsia="Times New Roman" w:hAnsi="Times New Roman" w:cs="Times New Roman"/>
          <w:sz w:val="24"/>
          <w:szCs w:val="24"/>
        </w:rPr>
        <w:t>Ortman</w:t>
      </w:r>
      <w:proofErr w:type="spellEnd"/>
      <w:r>
        <w:rPr>
          <w:rFonts w:ascii="Times New Roman" w:eastAsia="Times New Roman" w:hAnsi="Times New Roman" w:cs="Times New Roman"/>
          <w:sz w:val="24"/>
          <w:szCs w:val="24"/>
        </w:rPr>
        <w:t xml:space="preserve"> 2015), yet the demographic composition of the scientific workforce does not mirror our national composition (</w:t>
      </w:r>
      <w:proofErr w:type="spellStart"/>
      <w:r>
        <w:rPr>
          <w:rFonts w:ascii="Times New Roman" w:eastAsia="Times New Roman" w:hAnsi="Times New Roman" w:cs="Times New Roman"/>
          <w:sz w:val="24"/>
          <w:szCs w:val="24"/>
        </w:rPr>
        <w:t>Landivar</w:t>
      </w:r>
      <w:proofErr w:type="spellEnd"/>
      <w:r>
        <w:rPr>
          <w:rFonts w:ascii="Times New Roman" w:eastAsia="Times New Roman" w:hAnsi="Times New Roman" w:cs="Times New Roman"/>
          <w:sz w:val="24"/>
          <w:szCs w:val="24"/>
        </w:rPr>
        <w:t xml:space="preserve"> 2013). Any effort to diversify STEM fields will need to include strategies to increase the retention of historically underserved groups. For example, African American, Latino, Pacific Islander, and Native American undergraduates, who have historically comprised a minority of the U.S. population and are therefore considered underrepresented minorities (URM), face a multitude of challenges upon entering university, including feelings of exclusion (Cohen &amp; Garcia 2008), stereotype threat (J. Steele, James, &amp; Barnett 2002), disadvantaged socioeconomic backgrounds (Estrada-Hollenbeck, Woodcock, Hernandez, &amp; Schultz 2011), and discrimination (Milkman, </w:t>
      </w:r>
      <w:proofErr w:type="spellStart"/>
      <w:r>
        <w:rPr>
          <w:rFonts w:ascii="Times New Roman" w:eastAsia="Times New Roman" w:hAnsi="Times New Roman" w:cs="Times New Roman"/>
          <w:sz w:val="24"/>
          <w:szCs w:val="24"/>
        </w:rPr>
        <w:t>Akinola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Chugh</w:t>
      </w:r>
      <w:proofErr w:type="spellEnd"/>
      <w:r>
        <w:rPr>
          <w:rFonts w:ascii="Times New Roman" w:eastAsia="Times New Roman" w:hAnsi="Times New Roman" w:cs="Times New Roman"/>
          <w:sz w:val="24"/>
          <w:szCs w:val="24"/>
        </w:rPr>
        <w:t xml:space="preserve"> 2015).</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 are also less-well represented across science disciplines (Shen 2013). Despite many improvements at the undergraduate level, a persistent gender gap in performance and participation still impacts performance outcomes (Eddy &amp; Brownell 2016; Eddy, Brownell,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2014; Koester, </w:t>
      </w:r>
      <w:proofErr w:type="spellStart"/>
      <w:r>
        <w:rPr>
          <w:rFonts w:ascii="Times New Roman" w:eastAsia="Times New Roman" w:hAnsi="Times New Roman" w:cs="Times New Roman"/>
          <w:sz w:val="24"/>
          <w:szCs w:val="24"/>
        </w:rPr>
        <w:t>Grom</w:t>
      </w:r>
      <w:proofErr w:type="spellEnd"/>
      <w:r>
        <w:rPr>
          <w:rFonts w:ascii="Times New Roman" w:eastAsia="Times New Roman" w:hAnsi="Times New Roman" w:cs="Times New Roman"/>
          <w:sz w:val="24"/>
          <w:szCs w:val="24"/>
        </w:rPr>
        <w:t xml:space="preserve">, &amp; McKay 2016; </w:t>
      </w:r>
      <w:proofErr w:type="spellStart"/>
      <w:r>
        <w:rPr>
          <w:rFonts w:ascii="Times New Roman" w:eastAsia="Times New Roman" w:hAnsi="Times New Roman" w:cs="Times New Roman"/>
          <w:sz w:val="24"/>
          <w:szCs w:val="24"/>
        </w:rPr>
        <w:t>Matz</w:t>
      </w:r>
      <w:proofErr w:type="spellEnd"/>
      <w:r>
        <w:rPr>
          <w:rFonts w:ascii="Times New Roman" w:eastAsia="Times New Roman" w:hAnsi="Times New Roman" w:cs="Times New Roman"/>
          <w:sz w:val="24"/>
          <w:szCs w:val="24"/>
        </w:rPr>
        <w:t xml:space="preserve"> et al. 2017), and is perpetuated by bias among male peers (</w:t>
      </w:r>
      <w:proofErr w:type="spellStart"/>
      <w:r>
        <w:rPr>
          <w:rFonts w:ascii="Times New Roman" w:eastAsia="Times New Roman" w:hAnsi="Times New Roman" w:cs="Times New Roman"/>
          <w:sz w:val="24"/>
          <w:szCs w:val="24"/>
        </w:rPr>
        <w:t>Grunspan</w:t>
      </w:r>
      <w:proofErr w:type="spellEnd"/>
      <w:r>
        <w:rPr>
          <w:rFonts w:ascii="Times New Roman" w:eastAsia="Times New Roman" w:hAnsi="Times New Roman" w:cs="Times New Roman"/>
          <w:sz w:val="24"/>
          <w:szCs w:val="24"/>
        </w:rPr>
        <w:t xml:space="preserve"> et al. 2016). As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progress into more advanced positions, female scientists are awarded proportionately fewer prestigious fellowships (</w:t>
      </w:r>
      <w:proofErr w:type="spellStart"/>
      <w:r>
        <w:rPr>
          <w:rFonts w:ascii="Times New Roman" w:eastAsia="Times New Roman" w:hAnsi="Times New Roman" w:cs="Times New Roman"/>
          <w:sz w:val="24"/>
          <w:szCs w:val="24"/>
        </w:rPr>
        <w:t>Wold</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Wenneras</w:t>
      </w:r>
      <w:proofErr w:type="spellEnd"/>
      <w:r>
        <w:rPr>
          <w:rFonts w:ascii="Times New Roman" w:eastAsia="Times New Roman" w:hAnsi="Times New Roman" w:cs="Times New Roman"/>
          <w:sz w:val="24"/>
          <w:szCs w:val="24"/>
        </w:rPr>
        <w:t xml:space="preserve"> 2010)  and grants (</w:t>
      </w:r>
      <w:proofErr w:type="spellStart"/>
      <w:r>
        <w:rPr>
          <w:rFonts w:ascii="Times New Roman" w:eastAsia="Times New Roman" w:hAnsi="Times New Roman" w:cs="Times New Roman"/>
          <w:sz w:val="24"/>
          <w:szCs w:val="24"/>
        </w:rPr>
        <w:t>Ledin</w:t>
      </w:r>
      <w:proofErr w:type="spellEnd"/>
      <w:r>
        <w:rPr>
          <w:rFonts w:ascii="Times New Roman" w:eastAsia="Times New Roman" w:hAnsi="Times New Roman" w:cs="Times New Roman"/>
          <w:sz w:val="24"/>
          <w:szCs w:val="24"/>
        </w:rPr>
        <w:t xml:space="preserve"> et al. 2007), are represented less as first authors (</w:t>
      </w:r>
      <w:proofErr w:type="spellStart"/>
      <w:r>
        <w:rPr>
          <w:rFonts w:ascii="Times New Roman" w:eastAsia="Times New Roman" w:hAnsi="Times New Roman" w:cs="Times New Roman"/>
          <w:sz w:val="24"/>
          <w:szCs w:val="24"/>
        </w:rPr>
        <w:t>O’Dorchai</w:t>
      </w:r>
      <w:proofErr w:type="spellEnd"/>
      <w:r>
        <w:rPr>
          <w:rFonts w:ascii="Times New Roman" w:eastAsia="Times New Roman" w:hAnsi="Times New Roman" w:cs="Times New Roman"/>
          <w:sz w:val="24"/>
          <w:szCs w:val="24"/>
        </w:rPr>
        <w:t xml:space="preserve"> et al. 2009) and last authors (Holman et al. 2018; Murray et al. 2018), are invited as speakers to fewer symposia (Isbell et al. </w:t>
      </w:r>
      <w:r>
        <w:rPr>
          <w:rFonts w:ascii="Times New Roman" w:eastAsia="Times New Roman" w:hAnsi="Times New Roman" w:cs="Times New Roman"/>
          <w:sz w:val="24"/>
          <w:szCs w:val="24"/>
        </w:rPr>
        <w:lastRenderedPageBreak/>
        <w:t>2012), occupy fewer high-status positions in STEM (</w:t>
      </w:r>
      <w:proofErr w:type="spellStart"/>
      <w:r>
        <w:rPr>
          <w:rFonts w:ascii="Times New Roman" w:eastAsia="Times New Roman" w:hAnsi="Times New Roman" w:cs="Times New Roman"/>
          <w:sz w:val="24"/>
          <w:szCs w:val="24"/>
        </w:rPr>
        <w:t>Beede</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O’Dorchai</w:t>
      </w:r>
      <w:proofErr w:type="spellEnd"/>
      <w:r>
        <w:rPr>
          <w:rFonts w:ascii="Times New Roman" w:eastAsia="Times New Roman" w:hAnsi="Times New Roman" w:cs="Times New Roman"/>
          <w:sz w:val="24"/>
          <w:szCs w:val="24"/>
        </w:rPr>
        <w:t xml:space="preserve"> et al., 2009), and when they occupy those position, face unequal pay disparities (Shen 2013).</w:t>
      </w:r>
    </w:p>
    <w:p w:rsidR="001F7855" w:rsidRDefault="00743F0B">
      <w:pPr>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Together</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“underrepresented majority” in science, i.e., the women and minority groups who make up approximately 70% of college students, are not equally represented among students who complete an undergraduate STEM degree (approximately 45%) (Olson &amp; Riordan 2012). </w:t>
      </w:r>
      <w:r>
        <w:rPr>
          <w:rFonts w:ascii="Times New Roman" w:eastAsia="Times New Roman" w:hAnsi="Times New Roman" w:cs="Times New Roman"/>
          <w:sz w:val="24"/>
          <w:szCs w:val="24"/>
          <w:highlight w:val="white"/>
        </w:rPr>
        <w:t>In addition to external attributes such as gender and race</w:t>
      </w:r>
      <w:proofErr w:type="gramStart"/>
      <w:r>
        <w:rPr>
          <w:rFonts w:ascii="Times New Roman" w:eastAsia="Times New Roman" w:hAnsi="Times New Roman" w:cs="Times New Roman"/>
          <w:sz w:val="24"/>
          <w:szCs w:val="24"/>
          <w:highlight w:val="white"/>
        </w:rPr>
        <w:t>,  students</w:t>
      </w:r>
      <w:proofErr w:type="gramEnd"/>
      <w:r>
        <w:rPr>
          <w:rFonts w:ascii="Times New Roman" w:eastAsia="Times New Roman" w:hAnsi="Times New Roman" w:cs="Times New Roman"/>
          <w:sz w:val="24"/>
          <w:szCs w:val="24"/>
          <w:highlight w:val="white"/>
        </w:rPr>
        <w:t xml:space="preserve"> also possess </w:t>
      </w:r>
      <w:r>
        <w:rPr>
          <w:rFonts w:ascii="Times New Roman" w:eastAsia="Times New Roman" w:hAnsi="Times New Roman" w:cs="Times New Roman"/>
          <w:i/>
          <w:sz w:val="24"/>
          <w:szCs w:val="24"/>
          <w:highlight w:val="white"/>
        </w:rPr>
        <w:t>hidden identities</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such as whether English is a student’s first language. Other examples of hidden identities include whether students are the first generation in their family to attend college, their socioeconomic status, belief system, and whether they identify along the sexual identity spectrum of lesbian, gay, bisexual, transgender, queer, intersex, and asexual (LGBTQIA). Our students’ identities are not unidimensional; multiple identities intersect in ways that might impact their experiences (McKay, </w:t>
      </w:r>
      <w:proofErr w:type="spellStart"/>
      <w:r>
        <w:rPr>
          <w:rFonts w:ascii="Times New Roman" w:eastAsia="Times New Roman" w:hAnsi="Times New Roman" w:cs="Times New Roman"/>
          <w:sz w:val="24"/>
          <w:szCs w:val="24"/>
          <w:highlight w:val="white"/>
        </w:rPr>
        <w:t>Grom</w:t>
      </w:r>
      <w:proofErr w:type="spellEnd"/>
      <w:r>
        <w:rPr>
          <w:rFonts w:ascii="Times New Roman" w:eastAsia="Times New Roman" w:hAnsi="Times New Roman" w:cs="Times New Roman"/>
          <w:sz w:val="24"/>
          <w:szCs w:val="24"/>
          <w:highlight w:val="white"/>
        </w:rPr>
        <w:t>, &amp; Koester 2018). Understanding and improving the experience of individuals will require embracing that students are more than reductive, traditionally constructed measurable types such as only  ‘female’ or ‘first-generation’. Literature highlighting intersectionality will provide important insights for future work on this topic.</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Why do active learning pedagogies (ALP) close performance gaps?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studies indicate that ALP increases student learning and performance by all students, and sometimes disproportionately benefit URM students and women compared to traditional lecture instruction (Table 6.1). What are the underlying mechanisms leading to those benefits?  Table 6.1 summarizes the relatively few studies that have demonstrated positive gains for the underrepresented majority as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defined above in response to ALP. Other studies also point out that interactive instruction is not a simple answer –  Madsen et al. (2013) reviewed the literature on the student performance on concept inventories in physics, and what factors might underlie a persistent gender gap. They concluded that findings are often inconsistent (i.e., studies that show ALP does not reduce the gender gap on evaluative assessments, e.g., Pollock, Finkelstein and </w:t>
      </w:r>
      <w:proofErr w:type="spellStart"/>
      <w:r>
        <w:rPr>
          <w:rFonts w:ascii="Times New Roman" w:eastAsia="Times New Roman" w:hAnsi="Times New Roman" w:cs="Times New Roman"/>
          <w:sz w:val="24"/>
          <w:szCs w:val="24"/>
        </w:rPr>
        <w:t>Kost</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Brewe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and while one factor cannot be identified as the single culprit, it is more likely that a combination of small factors combined contribute to the observed differences.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proposed mechanism is that at-risk students benefit from more structure in the educational environment (Freeman, </w:t>
      </w:r>
      <w:proofErr w:type="spellStart"/>
      <w:r>
        <w:rPr>
          <w:rFonts w:ascii="Times New Roman" w:eastAsia="Times New Roman" w:hAnsi="Times New Roman" w:cs="Times New Roman"/>
          <w:sz w:val="24"/>
          <w:szCs w:val="24"/>
        </w:rPr>
        <w:t>Haak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2011). To test this Freeman et al. quantified failure rates in an introductory biology course for majors over six quarters with the same instructor and equivalent exams. They placed quarters into one of three categories. Relatively ‘low structure’ was similar to traditional lecturing. They considered ‘moderate </w:t>
      </w:r>
      <w:proofErr w:type="gramStart"/>
      <w:r>
        <w:rPr>
          <w:rFonts w:ascii="Times New Roman" w:eastAsia="Times New Roman" w:hAnsi="Times New Roman" w:cs="Times New Roman"/>
          <w:sz w:val="24"/>
          <w:szCs w:val="24"/>
        </w:rPr>
        <w:t>structure’  a</w:t>
      </w:r>
      <w:proofErr w:type="gramEnd"/>
      <w:r>
        <w:rPr>
          <w:rFonts w:ascii="Times New Roman" w:eastAsia="Times New Roman" w:hAnsi="Times New Roman" w:cs="Times New Roman"/>
          <w:sz w:val="24"/>
          <w:szCs w:val="24"/>
        </w:rPr>
        <w:t xml:space="preserve"> classroom that included clickers and practice exams. Finally, ‘high structure’ classes had additional reading quizzes, and replaced traditional lecturing with in-class group exercises. They found that with increasing lecture structure, the difference between the proportion of students predicted to fail and the actual proportion failing decreased. Specifically, their data showed increasing course structure reduced failure rates introductory biology from 18.2% to 6.3%.</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second proposed mechanism is that ALP positively affects psychological factors, which in turn enhances learning. Members of socially marginalized groups may be negatively impacted by their sense of social belonging in ‘mainstream’ institutions such as in a classroom within a university setting (Walton &amp; Cohen 2007). Studies on the social context of learning shows that ‘simple’ interventions can shift student attitudes and impact performance (Walton &amp; Cohen 2011), but few studies have addressed whether similar underlying mechanisms lead to benefits in ALP classrooms. To test this hypothesis, </w:t>
      </w: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et al. (2017) quantified student academic performance and two components of student well-being, science self-efficacy (i.e., an individual’s confidence in his/her ability to do science), along with a sense of classroom culture or social belonging, in a large introductory biology course that was modified from a traditional lecture format to ALP. We addressed: (1) whether ALP decreased the performance gap between non-URM and URM students, (2) whether ALP increased student science self-efficacy and perception of classroom social belonging, and (3) whether these factors influenced performance outcomes. We found that active learning boosted science self-efficacy in all students. </w:t>
      </w:r>
      <w:proofErr w:type="gramStart"/>
      <w:r>
        <w:rPr>
          <w:rFonts w:ascii="Times New Roman" w:eastAsia="Times New Roman" w:hAnsi="Times New Roman" w:cs="Times New Roman"/>
          <w:sz w:val="24"/>
          <w:szCs w:val="24"/>
        </w:rPr>
        <w:t>Among  students</w:t>
      </w:r>
      <w:proofErr w:type="gramEnd"/>
      <w:r>
        <w:rPr>
          <w:rFonts w:ascii="Times New Roman" w:eastAsia="Times New Roman" w:hAnsi="Times New Roman" w:cs="Times New Roman"/>
          <w:sz w:val="24"/>
          <w:szCs w:val="24"/>
        </w:rPr>
        <w:t xml:space="preserve"> from groups well-represented in the sciences, that boost was accompanied by an enhanced sense of social belonging but not of improved academic performance. With underrepresented minority students, however, improved science self-efficacy </w:t>
      </w:r>
      <w:r>
        <w:rPr>
          <w:rFonts w:ascii="Times New Roman" w:eastAsia="Times New Roman" w:hAnsi="Times New Roman" w:cs="Times New Roman"/>
          <w:i/>
          <w:sz w:val="24"/>
          <w:szCs w:val="24"/>
        </w:rPr>
        <w:t xml:space="preserve">drove </w:t>
      </w:r>
      <w:r>
        <w:rPr>
          <w:rFonts w:ascii="Times New Roman" w:eastAsia="Times New Roman" w:hAnsi="Times New Roman" w:cs="Times New Roman"/>
          <w:sz w:val="24"/>
          <w:szCs w:val="24"/>
        </w:rPr>
        <w:t>the observed improved academic performance, closing the achievement gap between the two groups.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study disaggregated students further and looked at the relative impact of an ALP intervention on students with different racial (African-American, White, Native American, Asian) and/or ethnic (Latin@) identity and first-generation versus continuing-generation status (Eddy &amp; Hogan 2014). They found that all students benefited from increased course structure, but African-American students and first-generation students benefited disproportionately, closing performance gaps apparent in the low-structure, more traditional lecture environment. The researchers were curious about what factors might influence observed student achievement gains with increased structure and ALP, and used surveys to address the relative importance of (1) time allocation [time students spent on class material outside of class each week], (2) sense of belonging or classroom culture [how well students in the class knew each other, if they believed students in the class tried to help one another, and whether they felt the class was a community] and (3) course value [extent to which students valued the skills they acquired through the class].  They found that with increased course structure, students reported spending more time studying outside of class, a greater sense of belonging or classroom culture in class, but a decline in how valuable they considered the course content. When the researchers looked for population-specific patterns, they found that for African-American students, ALP led to improved classroom comfort and likelihood of participating in class, along with reporting that the homework was important for their understanding of material. While first-generation students’ course performance improved with increased ALP, researchers did not observe any clear patterns reflected in the survey responses that would allow them to tease out factors that may lead to observed improvements.</w:t>
      </w:r>
    </w:p>
    <w:p w:rsidR="001F7855" w:rsidRDefault="00743F0B">
      <w:pPr>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6.2. Peer-reviewed papers that describe learning gains among at-risk students after deploying active learning pedagogies (ALP) provide a number of examples of in-class and out-of-class activities.</w:t>
      </w:r>
    </w:p>
    <w:tbl>
      <w:tblPr>
        <w:tblStyle w:val="a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90"/>
        <w:gridCol w:w="6075"/>
      </w:tblGrid>
      <w:tr w:rsidR="001F7855">
        <w:trPr>
          <w:trHeight w:val="560"/>
        </w:trPr>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(year)</w:t>
            </w:r>
          </w:p>
        </w:tc>
        <w:tc>
          <w:tcPr>
            <w:tcW w:w="6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Active Learning Pedagogies</w:t>
            </w:r>
          </w:p>
        </w:tc>
      </w:tr>
      <w:tr w:rsidR="001F7855">
        <w:trPr>
          <w:trHeight w:val="318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structure and active learning reduce the achievement gap in introductory biology. (2011)</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informal groups in class;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Daily multiple choice ‘clicker questions’ in peer instruction format;</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Weekly practice exam with five short-answer questions, peer graded;</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Pre-class reading quizzes</w:t>
            </w:r>
          </w:p>
        </w:tc>
      </w:tr>
      <w:tr w:rsidR="001F7855">
        <w:trPr>
          <w:trHeight w:val="382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diversity in undergraduate science: Self-efficacy drives performance gains with active learning. (2017)</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randomly-assigned groups of 4-5;</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number generator to call on groups;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pre-class low-stakes quizzes, in-class activities using classroom-response software;</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Exams worth less of total course grade;</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Circulating TAs to assist with group work</w:t>
            </w:r>
          </w:p>
        </w:tc>
      </w:tr>
      <w:tr w:rsidR="001F7855">
        <w:trPr>
          <w:trHeight w:val="65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student-centered activities for large enrollment undergraduate programs (SCALE-UP) project. Research-based reform of university physics. (2007)</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small groups of 3-4;</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Assigned readings before the topic is discussed in class;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groups do activities focus on basic concepts from the reading;</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basic skills, and apply these concepts in experiments and problems;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Lessons broken up into 5 to 15 minute segments interspersed with class-wide discussions;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Homework is weighted heavier than normal (20-25%);</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Midterm exams are weighted somewhat lower than normal (10-15% each</w:t>
            </w:r>
          </w:p>
        </w:tc>
      </w:tr>
      <w:tr w:rsidR="001F7855">
        <w:trPr>
          <w:trHeight w:val="318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Getting under the hood: how and for whom does increasing course structure work? (2014)</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groups;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Ungraded, instructor-designed guided-reading questions;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graded homework;</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class activities using classroom-response software</w:t>
            </w:r>
          </w:p>
        </w:tc>
      </w:tr>
      <w:tr w:rsidR="001F7855">
        <w:trPr>
          <w:trHeight w:val="654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Prescribed active learning increases performance in introductory biology. (2007)</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groups assigned by the instructor;</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Period started with a question based on the previous session’s material and a question on the reading for that day;</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Used ‘peer-instruction’ technique, i.e., if &lt;60% of the answers to a question was incorrect, students discuss the question among themselves and then re-answer;</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posed with an average of 5.6 clicker questions/class period;</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Peer-reviewed exam-style questions worth points;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exams</w:t>
            </w:r>
          </w:p>
        </w:tc>
      </w:tr>
      <w:tr w:rsidR="001F7855">
        <w:trPr>
          <w:trHeight w:val="486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the gender gap in the physics classroom. (2006)</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groups;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Alternated between short 10–15 min mini-lectures and conceptual questions discussed in small groups, i.e., peer instruction;</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Multiple-choice reading quizzes at the beginning of class;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Written assignments about the reading before class;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expected to read before class about the day’s topic in the textbook</w:t>
            </w:r>
          </w:p>
        </w:tc>
      </w:tr>
      <w:tr w:rsidR="001F7855">
        <w:trPr>
          <w:trHeight w:val="490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Retention and Reform: An Evaluation of Peer-Led Team Learning (2011)</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groups;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Instead of class offered in two, 75 min sessions per week, classes offered in three, 50 min sessions per week, where two sessions were primarily lecture and the third was designated for the Peer Led Team Learning (PLTL) implementation;</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Worked on problem sets, led by peers who had completed semester-long training in active learning techniques;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for participation</w:t>
            </w:r>
          </w:p>
        </w:tc>
      </w:tr>
      <w:tr w:rsidR="001F7855">
        <w:trPr>
          <w:trHeight w:val="352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Examining issues of underrepresented minority students in introductory physics</w:t>
            </w:r>
            <w:r>
              <w:rPr>
                <w:rFonts w:ascii="Times New Roman" w:eastAsia="Times New Roman" w:hAnsi="Times New Roman" w:cs="Times New Roman"/>
                <w:sz w:val="24"/>
                <w:szCs w:val="24"/>
                <w:highlight w:val="white"/>
              </w:rPr>
              <w:t>. (2010)</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worked in groups on structured, hands-on activities;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Classes reformed as workshops;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assistants led students through cooperative group problem-solving activities;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Weekly homework with traditional quantitative problem sets</w:t>
            </w:r>
          </w:p>
        </w:tc>
      </w:tr>
      <w:tr w:rsidR="001F7855">
        <w:trPr>
          <w:trHeight w:val="1580"/>
        </w:trPr>
        <w:tc>
          <w:tcPr>
            <w:tcW w:w="2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Introductory physics gender gaps: Pre and post-Studio transition (2009)</w:t>
            </w:r>
          </w:p>
        </w:tc>
        <w:tc>
          <w:tcPr>
            <w:tcW w:w="6075" w:type="dxa"/>
            <w:tcBorders>
              <w:top w:val="nil"/>
              <w:left w:val="nil"/>
              <w:bottom w:val="single" w:sz="8" w:space="0" w:color="000000"/>
              <w:right w:val="single" w:sz="8" w:space="0" w:color="000000"/>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Hybrid studio/lecture model;</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one-hour lectures and two one-hour studio sessions</w:t>
            </w:r>
          </w:p>
        </w:tc>
      </w:tr>
    </w:tbl>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importance of equitable teaching strategies and participation</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third mechanism that may be at play in closing performance gaps is the role ALP has in making large introductory classes feel like small classes. Because in higher education ALP is considered </w:t>
      </w:r>
      <w:r>
        <w:rPr>
          <w:rFonts w:ascii="Times New Roman" w:eastAsia="Times New Roman" w:hAnsi="Times New Roman" w:cs="Times New Roman"/>
          <w:sz w:val="24"/>
          <w:szCs w:val="24"/>
        </w:rPr>
        <w:lastRenderedPageBreak/>
        <w:t xml:space="preserve">unusual compared to the traditional lectures that faculty experienced as undergraduates, the ALP ‘condition’ is often considered the </w:t>
      </w:r>
      <w:r>
        <w:rPr>
          <w:rFonts w:ascii="Times New Roman" w:eastAsia="Times New Roman" w:hAnsi="Times New Roman" w:cs="Times New Roman"/>
          <w:i/>
          <w:sz w:val="24"/>
          <w:szCs w:val="24"/>
        </w:rPr>
        <w:t>experimental</w:t>
      </w:r>
      <w:r>
        <w:rPr>
          <w:rFonts w:ascii="Times New Roman" w:eastAsia="Times New Roman" w:hAnsi="Times New Roman" w:cs="Times New Roman"/>
          <w:sz w:val="24"/>
          <w:szCs w:val="24"/>
        </w:rPr>
        <w:t xml:space="preserve"> condition in educational research. However, from the student perspective, ALP is far more similar to previous educational experiences than traditional lecturing. For the majority of incoming students, who have emerged from smaller interactive high school classes or community college classes, entering a class of 500 students to learn the foundational knowledge of a discipline through uninterrupted lecture is itself radically different or experimental. For these new students, invisible to the instructor but for a student ID, a semester of generalized traditional lecture is delivered to the detriment of individual learning. From the instructor’s perspective, designing classes that attend to individual students may seem a manageable task in a course of 15 students, but not possible in a course of more than 500. Large traditional lecture courses pose a challenge to instructors and student success overall, and specifically to equitable performance and participation. However, instructors can employ simple strategies that trace their origins to evidence-based research to minimize some of these challenges. In fact, many evidence-based active-learning techniques appear to work by making large classes operate like smaller classes, and can support instructors in their efforts to teach to all students.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Tanner (2013) proposed five overarching goals that are important for student learning in the context of introductory biology (in addition to 21 equitable teaching strategies that address these goals): (1) giving students opportunities to think and talk about biology; (2) encouraging, demanding, and actively managing the participation of all students; (3) building an inclusive and fair classroom community for all students; (4) monitoring behavior to cultivate divergent biological thinking, and (5) teaching all of the students in your biology classroom. Some examples of equitable teaching strategies are simple, such as increasing wait time after asking a question. Previous research showed instructors on average wait approximately 1.5 seconds after asking a question before selecting a student to respond, or answering the question themselves (Rowe 1974a, 1974b). By increasing the amount of time between asking a question and moving on in some form, students have the time to process the question and for some students, build up the courage to raise their hand. Other examples of equitable teaching strategies require active consideration and reflection. For example, integrating culturally diverse/relevant examples serves the purpose of communicating to students that multiple perspectives are an important and valued part of science, and that scientists are not super-human. However, these examples might not be readily available in a biology textbook. Fortunately more resources have become available in recent years to overcome this barrier, such as the Story Collider project (https://www.storycollider.org/) which tells the human stories behind science. Other examples of equitable teaching strategies include using varied active learning strategies to engage a broader range of students, having students work in groups, learning students’ names, and allowing students time to write and reflect. All recommendations address a larger goal of promoting equity for all students in the classroom, not only those who came in already prepared. This work also points to the idea that in order to </w:t>
      </w:r>
      <w:r>
        <w:rPr>
          <w:rFonts w:ascii="Times New Roman" w:eastAsia="Times New Roman" w:hAnsi="Times New Roman" w:cs="Times New Roman"/>
          <w:sz w:val="24"/>
          <w:szCs w:val="24"/>
        </w:rPr>
        <w:lastRenderedPageBreak/>
        <w:t>maximize the benefits of ALP, instructors must pair practices with equitable teaching strategies that encourage participation from all students.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coupling of ALP and equitable teaching strategies is particularly important in introductory sciences courses, where students are first introduced to science and where they formulate their own perceptions of their ability to do it, presumably based on their experiences in the classroom and performance on a few high-stakes multiple-choice exams.  Few published studies focus on student participation in STEM classrooms, which is itself an important measure of student development. Eddy et al. (2014) quantified participation of men and women across 23 introductory biology courses, and found that women participate less than expected, based on the proportion of women in the classroom. Research into the underlying explanation for disparities demonstrate that many factors are likely at play including, the course instructor’s impact on student participation (Crombie, Pyke, </w:t>
      </w:r>
      <w:proofErr w:type="spellStart"/>
      <w:r>
        <w:rPr>
          <w:rFonts w:ascii="Times New Roman" w:eastAsia="Times New Roman" w:hAnsi="Times New Roman" w:cs="Times New Roman"/>
          <w:sz w:val="24"/>
          <w:szCs w:val="24"/>
        </w:rPr>
        <w:t>Silverthorn</w:t>
      </w:r>
      <w:proofErr w:type="spellEnd"/>
      <w:r>
        <w:rPr>
          <w:rFonts w:ascii="Times New Roman" w:eastAsia="Times New Roman" w:hAnsi="Times New Roman" w:cs="Times New Roman"/>
          <w:sz w:val="24"/>
          <w:szCs w:val="24"/>
        </w:rPr>
        <w:t xml:space="preserve">, Jones, &amp; </w:t>
      </w:r>
      <w:proofErr w:type="spellStart"/>
      <w:r>
        <w:rPr>
          <w:rFonts w:ascii="Times New Roman" w:eastAsia="Times New Roman" w:hAnsi="Times New Roman" w:cs="Times New Roman"/>
          <w:sz w:val="24"/>
          <w:szCs w:val="24"/>
        </w:rPr>
        <w:t>Piccinin</w:t>
      </w:r>
      <w:proofErr w:type="spellEnd"/>
      <w:r>
        <w:rPr>
          <w:rFonts w:ascii="Times New Roman" w:eastAsia="Times New Roman" w:hAnsi="Times New Roman" w:cs="Times New Roman"/>
          <w:sz w:val="24"/>
          <w:szCs w:val="24"/>
        </w:rPr>
        <w:t xml:space="preserve"> 2003) and his/her ability to cultivate an inclusive classroom environment (Salter &amp; </w:t>
      </w:r>
      <w:proofErr w:type="spellStart"/>
      <w:r>
        <w:rPr>
          <w:rFonts w:ascii="Times New Roman" w:eastAsia="Times New Roman" w:hAnsi="Times New Roman" w:cs="Times New Roman"/>
          <w:sz w:val="24"/>
          <w:szCs w:val="24"/>
        </w:rPr>
        <w:t>Persaud</w:t>
      </w:r>
      <w:proofErr w:type="spellEnd"/>
      <w:r>
        <w:rPr>
          <w:rFonts w:ascii="Times New Roman" w:eastAsia="Times New Roman" w:hAnsi="Times New Roman" w:cs="Times New Roman"/>
          <w:sz w:val="24"/>
          <w:szCs w:val="24"/>
        </w:rPr>
        <w:t xml:space="preserve"> 2003); student social identity (Eddy, Brownell, </w:t>
      </w:r>
      <w:proofErr w:type="spellStart"/>
      <w:r>
        <w:rPr>
          <w:rFonts w:ascii="Times New Roman" w:eastAsia="Times New Roman" w:hAnsi="Times New Roman" w:cs="Times New Roman"/>
          <w:sz w:val="24"/>
          <w:szCs w:val="24"/>
        </w:rPr>
        <w:t>Thummaphan</w:t>
      </w:r>
      <w:proofErr w:type="spellEnd"/>
      <w:r>
        <w:rPr>
          <w:rFonts w:ascii="Times New Roman" w:eastAsia="Times New Roman" w:hAnsi="Times New Roman" w:cs="Times New Roman"/>
          <w:sz w:val="24"/>
          <w:szCs w:val="24"/>
        </w:rPr>
        <w:t xml:space="preserve">, Lan,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2015) and social comparison concern (</w:t>
      </w:r>
      <w:proofErr w:type="spellStart"/>
      <w:r>
        <w:rPr>
          <w:rFonts w:ascii="Times New Roman" w:eastAsia="Times New Roman" w:hAnsi="Times New Roman" w:cs="Times New Roman"/>
          <w:sz w:val="24"/>
          <w:szCs w:val="24"/>
        </w:rPr>
        <w:t>Micari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Drane</w:t>
      </w:r>
      <w:proofErr w:type="spellEnd"/>
      <w:r>
        <w:rPr>
          <w:rFonts w:ascii="Times New Roman" w:eastAsia="Times New Roman" w:hAnsi="Times New Roman" w:cs="Times New Roman"/>
          <w:sz w:val="24"/>
          <w:szCs w:val="24"/>
        </w:rPr>
        <w:t xml:space="preserve"> 2011) also influence willingness to participate. </w:t>
      </w:r>
      <w:r>
        <w:rPr>
          <w:rFonts w:ascii="Times New Roman" w:eastAsia="Times New Roman" w:hAnsi="Times New Roman" w:cs="Times New Roman"/>
          <w:sz w:val="24"/>
          <w:szCs w:val="24"/>
          <w:highlight w:val="white"/>
        </w:rPr>
        <w:t>Interdependence theory (</w:t>
      </w:r>
      <w:proofErr w:type="spellStart"/>
      <w:r>
        <w:rPr>
          <w:rFonts w:ascii="Times New Roman" w:eastAsia="Times New Roman" w:hAnsi="Times New Roman" w:cs="Times New Roman"/>
          <w:sz w:val="24"/>
          <w:szCs w:val="24"/>
          <w:highlight w:val="white"/>
        </w:rPr>
        <w:t>Rusbult</w:t>
      </w:r>
      <w:proofErr w:type="spellEnd"/>
      <w:r>
        <w:rPr>
          <w:rFonts w:ascii="Times New Roman" w:eastAsia="Times New Roman" w:hAnsi="Times New Roman" w:cs="Times New Roman"/>
          <w:sz w:val="24"/>
          <w:szCs w:val="24"/>
          <w:highlight w:val="white"/>
        </w:rPr>
        <w:t xml:space="preserve"> &amp; Van Lange 2008) predicts individuals who are put in positions to invest in and rely on peers for the success of the group will also benefit themselves. Previous work demonstrates how increasing interdependency among classroom peers promotes participation, discussion, and ideas (Brewer &amp; Klein 2006).</w:t>
      </w:r>
      <w:r>
        <w:rPr>
          <w:rFonts w:ascii="Times New Roman" w:eastAsia="Times New Roman" w:hAnsi="Times New Roman" w:cs="Times New Roman"/>
          <w:sz w:val="24"/>
          <w:szCs w:val="24"/>
        </w:rPr>
        <w:t xml:space="preserve"> While the use of evidence-based practices for promoting ALP are common, it is critical that these practices are combined with a ‘toolkit’ of inclusive approaches of implementation.</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Evaluating equitable teaching practices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approaches can be used to evaluate the effectiveness of new practices through an equity lens. While grades alone may inconsistently reflect actual learning, in my experience combining multiple metrics of performance is the best way to gauge student outcomes. For example, first administer low-stakes pre- and post-course knowledge assessments that cover the course content; second, use exams or final course grades (based on exams, discussion sections, online activities, and in-class activities). Improvement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in the low-stakes knowledge assessment across semesters could be attributed to the reduction of test anxiety normally present during course exams. However, course grade increases alone could be due to changes in the grading rubric to include points related to ALP. Relatedly, increases in exam scores might also be influenced by reduction of stress due to a modified grading scheme. If you identify a consistent change in multiple metrics it likely indicates gains in actual learning.</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whole class observations can measure whether in-class contributions increase overall with respect to ALP, what types of in-class interactions are most effective for learning, and whether interactions may be gender-biased. An in-class observation protocol characterizes classroom participation by quantifying types of interactions that occur over a class period. Perhaps the most popular protocol used in discipline-based education research is the Classroom Observation </w:t>
      </w:r>
      <w:r>
        <w:rPr>
          <w:rFonts w:ascii="Times New Roman" w:eastAsia="Times New Roman" w:hAnsi="Times New Roman" w:cs="Times New Roman"/>
          <w:sz w:val="24"/>
          <w:szCs w:val="24"/>
        </w:rPr>
        <w:lastRenderedPageBreak/>
        <w:t xml:space="preserve">Protocol for Undergraduate STEM (COPUS) (Smith, Jones, Gilbert, &amp; </w:t>
      </w:r>
      <w:proofErr w:type="spellStart"/>
      <w:r>
        <w:rPr>
          <w:rFonts w:ascii="Times New Roman" w:eastAsia="Times New Roman" w:hAnsi="Times New Roman" w:cs="Times New Roman"/>
          <w:sz w:val="24"/>
          <w:szCs w:val="24"/>
        </w:rPr>
        <w:t>Wieman</w:t>
      </w:r>
      <w:proofErr w:type="spellEnd"/>
      <w:r>
        <w:rPr>
          <w:rFonts w:ascii="Times New Roman" w:eastAsia="Times New Roman" w:hAnsi="Times New Roman" w:cs="Times New Roman"/>
          <w:sz w:val="24"/>
          <w:szCs w:val="24"/>
        </w:rPr>
        <w:t xml:space="preserve"> 2013). Paying close attention to </w:t>
      </w:r>
      <w:r>
        <w:rPr>
          <w:rFonts w:ascii="Times New Roman" w:eastAsia="Times New Roman" w:hAnsi="Times New Roman" w:cs="Times New Roman"/>
          <w:i/>
          <w:sz w:val="24"/>
          <w:szCs w:val="24"/>
        </w:rPr>
        <w:t xml:space="preserve">who </w:t>
      </w:r>
      <w:r>
        <w:rPr>
          <w:rFonts w:ascii="Times New Roman" w:eastAsia="Times New Roman" w:hAnsi="Times New Roman" w:cs="Times New Roman"/>
          <w:sz w:val="24"/>
          <w:szCs w:val="24"/>
        </w:rPr>
        <w:t>is speaking, and in response to what types of instructor or peer prompts, is also worthy of investigation through an inclusion lens. Previous research documents different types of single responses, group responses (when students respond after group discussion), and responses when the instructor is circulating around the classroom during group or individual work (</w:t>
      </w: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Lee, </w:t>
      </w:r>
      <w:proofErr w:type="spellStart"/>
      <w:r>
        <w:rPr>
          <w:rFonts w:ascii="Times New Roman" w:eastAsia="Times New Roman" w:hAnsi="Times New Roman" w:cs="Times New Roman"/>
          <w:sz w:val="24"/>
          <w:szCs w:val="24"/>
        </w:rPr>
        <w:t>Rakner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Cotner</w:t>
      </w:r>
      <w:proofErr w:type="spellEnd"/>
      <w:r>
        <w:rPr>
          <w:rFonts w:ascii="Times New Roman" w:eastAsia="Times New Roman" w:hAnsi="Times New Roman" w:cs="Times New Roman"/>
          <w:sz w:val="24"/>
          <w:szCs w:val="24"/>
        </w:rPr>
        <w:t xml:space="preserve"> 2018; Eddy et al. 2014). One or multiple observers characterize these classes in real time or based on video footage. Observations can be anonymous with respect to individuals, unless students sit in a fixed seating arrangement.</w:t>
      </w:r>
    </w:p>
    <w:p w:rsidR="001F7855" w:rsidRDefault="00743F0B">
      <w:pPr>
        <w:contextualSpacing w:val="0"/>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Third, affective factors (those that are not related to performance, but to attitudes, perceptions, and feelings) can contribute to demographic gaps in STEM. Affective factors include but are not restricted to science self-efficacy, sense of social belonging, and disciplinary identity (Table 6.3). Affective factors quantified by student self-reported surveys can gauge student classroom culture or sense of belonging, and provide instructors with a sense of their own ‘classroom climate’ which can also impact student learning, particularly in large introductory science classes. </w:t>
      </w:r>
      <w:r>
        <w:rPr>
          <w:rFonts w:ascii="Times New Roman" w:eastAsia="Times New Roman" w:hAnsi="Times New Roman" w:cs="Times New Roman"/>
          <w:color w:val="1F1F1F"/>
          <w:sz w:val="24"/>
          <w:szCs w:val="24"/>
        </w:rPr>
        <w:t>Qualitatively exploring barriers in the classroom through interviews with students is an alternative, more nuanced approach to capturing information, but sometimes more time-consuming than distributing surveys before and after the semester.</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6.3. Examples of articles reporting on gaps in affective measures or those that provide investigative tools or protocols.</w:t>
      </w:r>
    </w:p>
    <w:tbl>
      <w:tblPr>
        <w:tblStyle w:val="a1"/>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90"/>
        <w:gridCol w:w="6075"/>
      </w:tblGrid>
      <w:tr w:rsidR="001F7855">
        <w:trPr>
          <w:trHeight w:val="1260"/>
        </w:trPr>
        <w:tc>
          <w:tcPr>
            <w:tcW w:w="2790" w:type="dxa"/>
            <w:tcBorders>
              <w:top w:val="single" w:sz="8" w:space="0" w:color="999999"/>
              <w:left w:val="single" w:sz="8" w:space="0" w:color="999999"/>
              <w:bottom w:val="single" w:sz="12" w:space="0" w:color="666666"/>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w:t>
            </w:r>
          </w:p>
        </w:tc>
        <w:tc>
          <w:tcPr>
            <w:tcW w:w="6075" w:type="dxa"/>
            <w:tcBorders>
              <w:top w:val="single" w:sz="8" w:space="0" w:color="999999"/>
              <w:left w:val="nil"/>
              <w:bottom w:val="single" w:sz="12" w:space="0" w:color="666666"/>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citations that describe factors’ relevance to performance outcomes and/or investigative tools or protocols</w:t>
            </w:r>
          </w:p>
        </w:tc>
      </w:tr>
      <w:tr w:rsidR="001F7855">
        <w:trPr>
          <w:trHeight w:val="1940"/>
        </w:trPr>
        <w:tc>
          <w:tcPr>
            <w:tcW w:w="2790"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Science self-efficacy</w:t>
            </w:r>
          </w:p>
        </w:tc>
        <w:tc>
          <w:tcPr>
            <w:tcW w:w="6075" w:type="dxa"/>
            <w:tcBorders>
              <w:top w:val="nil"/>
              <w:left w:val="nil"/>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(Kitchen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Lawson, Banks and </w:t>
            </w:r>
            <w:proofErr w:type="spellStart"/>
            <w:r>
              <w:rPr>
                <w:rFonts w:ascii="Times New Roman" w:eastAsia="Times New Roman" w:hAnsi="Times New Roman" w:cs="Times New Roman"/>
                <w:sz w:val="24"/>
                <w:szCs w:val="24"/>
              </w:rPr>
              <w:t>Logvin</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Cotner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Trujillo and Tanner 2014; </w:t>
            </w:r>
            <w:proofErr w:type="spellStart"/>
            <w:r>
              <w:rPr>
                <w:rFonts w:ascii="Times New Roman" w:eastAsia="Times New Roman" w:hAnsi="Times New Roman" w:cs="Times New Roman"/>
                <w:sz w:val="24"/>
                <w:szCs w:val="24"/>
              </w:rPr>
              <w:t>Robnett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Zurbriggen</w:t>
            </w:r>
            <w:proofErr w:type="spellEnd"/>
            <w:r>
              <w:rPr>
                <w:rFonts w:ascii="Times New Roman" w:eastAsia="Times New Roman" w:hAnsi="Times New Roman" w:cs="Times New Roman"/>
                <w:sz w:val="24"/>
                <w:szCs w:val="24"/>
              </w:rPr>
              <w:t xml:space="preserve"> 2015; Baldwin, Ebert-May and Burns 1999)</w:t>
            </w:r>
          </w:p>
        </w:tc>
      </w:tr>
      <w:tr w:rsidR="001F7855">
        <w:trPr>
          <w:trHeight w:val="980"/>
        </w:trPr>
        <w:tc>
          <w:tcPr>
            <w:tcW w:w="2790"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motivation</w:t>
            </w:r>
          </w:p>
        </w:tc>
        <w:tc>
          <w:tcPr>
            <w:tcW w:w="6075" w:type="dxa"/>
            <w:tcBorders>
              <w:top w:val="nil"/>
              <w:left w:val="nil"/>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(Hernandez, Schultz, Estrada, Woodcock, &amp; Chance 2013; </w:t>
            </w:r>
            <w:proofErr w:type="spellStart"/>
            <w:r>
              <w:rPr>
                <w:rFonts w:ascii="Times New Roman" w:eastAsia="Times New Roman" w:hAnsi="Times New Roman" w:cs="Times New Roman"/>
                <w:sz w:val="24"/>
                <w:szCs w:val="24"/>
              </w:rPr>
              <w:t>Pintrich</w:t>
            </w:r>
            <w:proofErr w:type="spellEnd"/>
            <w:r>
              <w:rPr>
                <w:rFonts w:ascii="Times New Roman" w:eastAsia="Times New Roman" w:hAnsi="Times New Roman" w:cs="Times New Roman"/>
                <w:sz w:val="24"/>
                <w:szCs w:val="24"/>
              </w:rPr>
              <w:t xml:space="preserve"> 1991)</w:t>
            </w:r>
          </w:p>
        </w:tc>
      </w:tr>
      <w:tr w:rsidR="001F7855">
        <w:trPr>
          <w:trHeight w:val="1580"/>
        </w:trPr>
        <w:tc>
          <w:tcPr>
            <w:tcW w:w="2790"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Sense of classroom inclusion</w:t>
            </w:r>
          </w:p>
        </w:tc>
        <w:tc>
          <w:tcPr>
            <w:tcW w:w="6075" w:type="dxa"/>
            <w:tcBorders>
              <w:top w:val="nil"/>
              <w:left w:val="nil"/>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&amp; Garcia 2008; Eddy &amp; Hogan 2014; </w:t>
            </w:r>
            <w:proofErr w:type="spellStart"/>
            <w:r>
              <w:rPr>
                <w:rFonts w:ascii="Times New Roman" w:eastAsia="Times New Roman" w:hAnsi="Times New Roman" w:cs="Times New Roman"/>
                <w:sz w:val="24"/>
                <w:szCs w:val="24"/>
              </w:rPr>
              <w:t>Hausmann</w:t>
            </w:r>
            <w:proofErr w:type="spellEnd"/>
            <w:r>
              <w:rPr>
                <w:rFonts w:ascii="Times New Roman" w:eastAsia="Times New Roman" w:hAnsi="Times New Roman" w:cs="Times New Roman"/>
                <w:sz w:val="24"/>
                <w:szCs w:val="24"/>
              </w:rPr>
              <w:t>, Schofield, &amp; Woods 2007; Stout, Ito, Finkelstein, &amp; Pollock 2013; Walton &amp; Cohen 2011)</w:t>
            </w:r>
          </w:p>
        </w:tc>
      </w:tr>
      <w:tr w:rsidR="001F7855">
        <w:trPr>
          <w:trHeight w:val="1580"/>
        </w:trPr>
        <w:tc>
          <w:tcPr>
            <w:tcW w:w="2790"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Stereotype threat</w:t>
            </w:r>
          </w:p>
        </w:tc>
        <w:tc>
          <w:tcPr>
            <w:tcW w:w="6075" w:type="dxa"/>
            <w:tcBorders>
              <w:top w:val="nil"/>
              <w:left w:val="nil"/>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Clance</w:t>
            </w:r>
            <w:proofErr w:type="spellEnd"/>
            <w:r>
              <w:rPr>
                <w:rFonts w:ascii="Times New Roman" w:eastAsia="Times New Roman" w:hAnsi="Times New Roman" w:cs="Times New Roman"/>
                <w:sz w:val="24"/>
                <w:szCs w:val="24"/>
              </w:rPr>
              <w:t xml:space="preserve"> 1985; Nguyen &amp; Ryan 2008; </w:t>
            </w:r>
            <w:proofErr w:type="spellStart"/>
            <w:r>
              <w:rPr>
                <w:rFonts w:ascii="Times New Roman" w:eastAsia="Times New Roman" w:hAnsi="Times New Roman" w:cs="Times New Roman"/>
                <w:sz w:val="24"/>
                <w:szCs w:val="24"/>
              </w:rPr>
              <w:t>Nosek</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Picho</w:t>
            </w:r>
            <w:proofErr w:type="spellEnd"/>
            <w:r>
              <w:rPr>
                <w:rFonts w:ascii="Times New Roman" w:eastAsia="Times New Roman" w:hAnsi="Times New Roman" w:cs="Times New Roman"/>
                <w:sz w:val="24"/>
                <w:szCs w:val="24"/>
              </w:rPr>
              <w:t xml:space="preserve"> &amp; Brown 2011; </w:t>
            </w:r>
            <w:proofErr w:type="spellStart"/>
            <w:r>
              <w:rPr>
                <w:rFonts w:ascii="Times New Roman" w:eastAsia="Times New Roman" w:hAnsi="Times New Roman" w:cs="Times New Roman"/>
                <w:sz w:val="24"/>
                <w:szCs w:val="24"/>
              </w:rPr>
              <w:t>Schmader</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Schmader</w:t>
            </w:r>
            <w:proofErr w:type="spellEnd"/>
            <w:r>
              <w:rPr>
                <w:rFonts w:ascii="Times New Roman" w:eastAsia="Times New Roman" w:hAnsi="Times New Roman" w:cs="Times New Roman"/>
                <w:sz w:val="24"/>
                <w:szCs w:val="24"/>
              </w:rPr>
              <w:t>, Johns, &amp; Forbes 2008; Steele 1997)</w:t>
            </w:r>
          </w:p>
        </w:tc>
      </w:tr>
      <w:tr w:rsidR="001F7855">
        <w:trPr>
          <w:trHeight w:val="900"/>
        </w:trPr>
        <w:tc>
          <w:tcPr>
            <w:tcW w:w="2790" w:type="dxa"/>
            <w:tcBorders>
              <w:top w:val="nil"/>
              <w:left w:val="single" w:sz="8" w:space="0" w:color="999999"/>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Science/disciplinary identity</w:t>
            </w:r>
          </w:p>
        </w:tc>
        <w:tc>
          <w:tcPr>
            <w:tcW w:w="6075" w:type="dxa"/>
            <w:tcBorders>
              <w:top w:val="nil"/>
              <w:left w:val="nil"/>
              <w:bottom w:val="single" w:sz="8" w:space="0" w:color="999999"/>
              <w:right w:val="single" w:sz="8" w:space="0" w:color="999999"/>
            </w:tcBorders>
            <w:tcMar>
              <w:top w:w="100" w:type="dxa"/>
              <w:left w:w="100" w:type="dxa"/>
              <w:bottom w:w="100" w:type="dxa"/>
              <w:right w:w="100" w:type="dxa"/>
            </w:tcMar>
          </w:tcPr>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Cundiff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Vescio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Loken</w:t>
            </w:r>
            <w:proofErr w:type="spellEnd"/>
            <w:r>
              <w:rPr>
                <w:rFonts w:ascii="Times New Roman" w:eastAsia="Times New Roman" w:hAnsi="Times New Roman" w:cs="Times New Roman"/>
                <w:sz w:val="24"/>
                <w:szCs w:val="24"/>
              </w:rPr>
              <w:t xml:space="preserve">, &amp; Lo 2013; </w:t>
            </w:r>
            <w:proofErr w:type="spellStart"/>
            <w:r>
              <w:rPr>
                <w:rFonts w:ascii="Times New Roman" w:eastAsia="Times New Roman" w:hAnsi="Times New Roman" w:cs="Times New Roman"/>
                <w:sz w:val="24"/>
                <w:szCs w:val="24"/>
              </w:rPr>
              <w:t>Hazari</w:t>
            </w:r>
            <w:proofErr w:type="spellEnd"/>
            <w:r>
              <w:rPr>
                <w:rFonts w:ascii="Times New Roman" w:eastAsia="Times New Roman" w:hAnsi="Times New Roman" w:cs="Times New Roman"/>
                <w:sz w:val="24"/>
                <w:szCs w:val="24"/>
              </w:rPr>
              <w:t xml:space="preserve">, Sadler, &amp; </w:t>
            </w:r>
            <w:proofErr w:type="spellStart"/>
            <w:r>
              <w:rPr>
                <w:rFonts w:ascii="Times New Roman" w:eastAsia="Times New Roman" w:hAnsi="Times New Roman" w:cs="Times New Roman"/>
                <w:sz w:val="24"/>
                <w:szCs w:val="24"/>
              </w:rPr>
              <w:t>Sonnert</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Robnett</w:t>
            </w:r>
            <w:proofErr w:type="spellEnd"/>
            <w:r>
              <w:rPr>
                <w:rFonts w:ascii="Times New Roman" w:eastAsia="Times New Roman" w:hAnsi="Times New Roman" w:cs="Times New Roman"/>
                <w:sz w:val="24"/>
                <w:szCs w:val="24"/>
              </w:rPr>
              <w:t xml:space="preserve"> et al. 2015)</w:t>
            </w:r>
          </w:p>
        </w:tc>
      </w:tr>
    </w:tbl>
    <w:p w:rsidR="001F7855" w:rsidRDefault="00743F0B">
      <w:pPr>
        <w:contextualSpacing w:val="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education researchers continue to identify barriers to full participation in STEM for traditionally underserved students, targeted and testable approaches will be essential in our efforts to address these challenges. Through rigorous scientific teaching and collaboration, we can develop hypotheses about assessment, in-class participation, and STEM equity. Over time, cultural shifts at the departmental and collegiate levels will increase student exposure to evidence-based teaching, which will lead to better learning.</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Thanks to Scott E. Lewis, </w:t>
      </w:r>
      <w:proofErr w:type="spellStart"/>
      <w:r>
        <w:rPr>
          <w:rFonts w:ascii="Times New Roman" w:eastAsia="Times New Roman" w:hAnsi="Times New Roman" w:cs="Times New Roman"/>
          <w:sz w:val="24"/>
          <w:szCs w:val="24"/>
        </w:rPr>
        <w:t>Shima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Salehi</w:t>
      </w:r>
      <w:proofErr w:type="spellEnd"/>
      <w:r>
        <w:rPr>
          <w:rFonts w:ascii="Times New Roman" w:eastAsia="Times New Roman" w:hAnsi="Times New Roman" w:cs="Times New Roman"/>
          <w:sz w:val="24"/>
          <w:szCs w:val="24"/>
        </w:rPr>
        <w:t>, and Timothy McKay for critical insights that improved the quality of the chapter.</w:t>
      </w:r>
    </w:p>
    <w:p w:rsidR="001F7855" w:rsidRDefault="00743F0B">
      <w:p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1F7855">
      <w:pPr>
        <w:contextualSpacing w:val="0"/>
        <w:rPr>
          <w:rFonts w:ascii="Times New Roman" w:eastAsia="Times New Roman" w:hAnsi="Times New Roman" w:cs="Times New Roman"/>
          <w:sz w:val="24"/>
          <w:szCs w:val="24"/>
        </w:rPr>
      </w:pPr>
    </w:p>
    <w:p w:rsidR="001F7855" w:rsidRDefault="00743F0B">
      <w:pPr>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855" w:rsidRDefault="00743F0B">
      <w:pPr>
        <w:spacing w:after="1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Baldwin, J. A., Ebert-May, D., &amp; Burns, D. J. (1999). The development of a college biology self-efficacy instrument for </w:t>
      </w:r>
      <w:proofErr w:type="spellStart"/>
      <w:r>
        <w:rPr>
          <w:rFonts w:ascii="Times New Roman" w:eastAsia="Times New Roman" w:hAnsi="Times New Roman" w:cs="Times New Roman"/>
          <w:sz w:val="24"/>
          <w:szCs w:val="24"/>
        </w:rPr>
        <w:t>nonmajors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83</w:t>
      </w:r>
      <w:r>
        <w:rPr>
          <w:rFonts w:ascii="Times New Roman" w:eastAsia="Times New Roman" w:hAnsi="Times New Roman" w:cs="Times New Roman"/>
          <w:sz w:val="24"/>
          <w:szCs w:val="24"/>
        </w:rPr>
        <w:t>(4), 397–408.</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C. J., Lee, D., </w:t>
      </w:r>
      <w:proofErr w:type="spellStart"/>
      <w:r>
        <w:rPr>
          <w:rFonts w:ascii="Times New Roman" w:eastAsia="Times New Roman" w:hAnsi="Times New Roman" w:cs="Times New Roman"/>
          <w:sz w:val="24"/>
          <w:szCs w:val="24"/>
        </w:rPr>
        <w:t>Rakner</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Cotner</w:t>
      </w:r>
      <w:proofErr w:type="spellEnd"/>
      <w:r>
        <w:rPr>
          <w:rFonts w:ascii="Times New Roman" w:eastAsia="Times New Roman" w:hAnsi="Times New Roman" w:cs="Times New Roman"/>
          <w:sz w:val="24"/>
          <w:szCs w:val="24"/>
        </w:rPr>
        <w:t xml:space="preserve">, S. (2018). Politics a “Chilly” Environment for Undergraduate Women in Norway. </w:t>
      </w:r>
      <w:r>
        <w:rPr>
          <w:rFonts w:ascii="Times New Roman" w:eastAsia="Times New Roman" w:hAnsi="Times New Roman" w:cs="Times New Roman"/>
          <w:i/>
          <w:sz w:val="24"/>
          <w:szCs w:val="24"/>
        </w:rPr>
        <w:t>PS: Political Science &amp; Politics</w:t>
      </w:r>
      <w:r>
        <w:rPr>
          <w:rFonts w:ascii="Times New Roman" w:eastAsia="Times New Roman" w:hAnsi="Times New Roman" w:cs="Times New Roman"/>
          <w:sz w:val="24"/>
          <w:szCs w:val="24"/>
        </w:rPr>
        <w:t>, 1–6.</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C. J., &amp; Mason, N. A. (2017). Longitudinal Analysis of a Diversity Support Program in Biology: A National Call for Further Assessment. </w:t>
      </w:r>
      <w:r>
        <w:rPr>
          <w:rFonts w:ascii="Times New Roman" w:eastAsia="Times New Roman" w:hAnsi="Times New Roman" w:cs="Times New Roman"/>
          <w:i/>
          <w:sz w:val="24"/>
          <w:szCs w:val="24"/>
        </w:rPr>
        <w:t>Bioscience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67</w:t>
      </w:r>
      <w:r>
        <w:rPr>
          <w:rFonts w:ascii="Times New Roman" w:eastAsia="Times New Roman" w:hAnsi="Times New Roman" w:cs="Times New Roman"/>
          <w:sz w:val="24"/>
          <w:szCs w:val="24"/>
        </w:rPr>
        <w:t>(4), 367–373.</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Ballen</w:t>
      </w:r>
      <w:proofErr w:type="spellEnd"/>
      <w:r>
        <w:rPr>
          <w:rFonts w:ascii="Times New Roman" w:eastAsia="Times New Roman" w:hAnsi="Times New Roman" w:cs="Times New Roman"/>
          <w:sz w:val="24"/>
          <w:szCs w:val="24"/>
        </w:rPr>
        <w:t xml:space="preserve">, C. J., </w:t>
      </w:r>
      <w:proofErr w:type="spellStart"/>
      <w:r>
        <w:rPr>
          <w:rFonts w:ascii="Times New Roman" w:eastAsia="Times New Roman" w:hAnsi="Times New Roman" w:cs="Times New Roman"/>
          <w:sz w:val="24"/>
          <w:szCs w:val="24"/>
        </w:rPr>
        <w:t>Wieman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Salehi</w:t>
      </w:r>
      <w:proofErr w:type="spellEnd"/>
      <w:r>
        <w:rPr>
          <w:rFonts w:ascii="Times New Roman" w:eastAsia="Times New Roman" w:hAnsi="Times New Roman" w:cs="Times New Roman"/>
          <w:sz w:val="24"/>
          <w:szCs w:val="24"/>
        </w:rPr>
        <w:t xml:space="preserve">, S., Searle, J. B., &amp; </w:t>
      </w:r>
      <w:proofErr w:type="spellStart"/>
      <w:r>
        <w:rPr>
          <w:rFonts w:ascii="Times New Roman" w:eastAsia="Times New Roman" w:hAnsi="Times New Roman" w:cs="Times New Roman"/>
          <w:sz w:val="24"/>
          <w:szCs w:val="24"/>
        </w:rPr>
        <w:t>Zamudio</w:t>
      </w:r>
      <w:proofErr w:type="spellEnd"/>
      <w:r>
        <w:rPr>
          <w:rFonts w:ascii="Times New Roman" w:eastAsia="Times New Roman" w:hAnsi="Times New Roman" w:cs="Times New Roman"/>
          <w:sz w:val="24"/>
          <w:szCs w:val="24"/>
        </w:rPr>
        <w:t xml:space="preserve">, K. R. (2017). Enhancing diversity in undergraduate science: Self-efficacy drives performance gains with active learning. </w:t>
      </w:r>
      <w:r>
        <w:rPr>
          <w:rFonts w:ascii="Times New Roman" w:eastAsia="Times New Roman" w:hAnsi="Times New Roman" w:cs="Times New Roman"/>
          <w:i/>
          <w:sz w:val="24"/>
          <w:szCs w:val="24"/>
        </w:rPr>
        <w:t>CBE-Life Sciences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(4), ar56.</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Beede</w:t>
      </w:r>
      <w:proofErr w:type="spellEnd"/>
      <w:r>
        <w:rPr>
          <w:rFonts w:ascii="Times New Roman" w:eastAsia="Times New Roman" w:hAnsi="Times New Roman" w:cs="Times New Roman"/>
          <w:sz w:val="24"/>
          <w:szCs w:val="24"/>
        </w:rPr>
        <w:t xml:space="preserve">, D. N., Julian, T. A., Langdon, D., </w:t>
      </w:r>
      <w:proofErr w:type="spellStart"/>
      <w:r>
        <w:rPr>
          <w:rFonts w:ascii="Times New Roman" w:eastAsia="Times New Roman" w:hAnsi="Times New Roman" w:cs="Times New Roman"/>
          <w:sz w:val="24"/>
          <w:szCs w:val="24"/>
        </w:rPr>
        <w:t>McKittrick</w:t>
      </w:r>
      <w:proofErr w:type="spellEnd"/>
      <w:r>
        <w:rPr>
          <w:rFonts w:ascii="Times New Roman" w:eastAsia="Times New Roman" w:hAnsi="Times New Roman" w:cs="Times New Roman"/>
          <w:sz w:val="24"/>
          <w:szCs w:val="24"/>
        </w:rPr>
        <w:t xml:space="preserve">, G., Khan, B., &amp; </w:t>
      </w:r>
      <w:proofErr w:type="spellStart"/>
      <w:r>
        <w:rPr>
          <w:rFonts w:ascii="Times New Roman" w:eastAsia="Times New Roman" w:hAnsi="Times New Roman" w:cs="Times New Roman"/>
          <w:sz w:val="24"/>
          <w:szCs w:val="24"/>
        </w:rPr>
        <w:t>Doms</w:t>
      </w:r>
      <w:proofErr w:type="spellEnd"/>
      <w:r>
        <w:rPr>
          <w:rFonts w:ascii="Times New Roman" w:eastAsia="Times New Roman" w:hAnsi="Times New Roman" w:cs="Times New Roman"/>
          <w:sz w:val="24"/>
          <w:szCs w:val="24"/>
        </w:rPr>
        <w:t xml:space="preserve">, M. E. (2011). Women in STEM: A gender gap to innovation. </w:t>
      </w:r>
      <w:r>
        <w:rPr>
          <w:rFonts w:ascii="Times New Roman" w:eastAsia="Times New Roman" w:hAnsi="Times New Roman" w:cs="Times New Roman"/>
          <w:i/>
          <w:sz w:val="24"/>
          <w:szCs w:val="24"/>
        </w:rPr>
        <w:t>Economics and Statistics Administration Issue Brief</w:t>
      </w:r>
      <w:r>
        <w:rPr>
          <w:rFonts w:ascii="Times New Roman" w:eastAsia="Times New Roman" w:hAnsi="Times New Roman" w:cs="Times New Roman"/>
          <w:sz w:val="24"/>
          <w:szCs w:val="24"/>
        </w:rPr>
        <w:t>, (04-11).</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Beichner</w:t>
      </w:r>
      <w:proofErr w:type="spellEnd"/>
      <w:r>
        <w:rPr>
          <w:rFonts w:ascii="Times New Roman" w:eastAsia="Times New Roman" w:hAnsi="Times New Roman" w:cs="Times New Roman"/>
          <w:sz w:val="24"/>
          <w:szCs w:val="24"/>
        </w:rPr>
        <w:t xml:space="preserve">, R. J., Saul, J. M., Abbott, D. S., Morse, J. J., </w:t>
      </w:r>
      <w:proofErr w:type="spellStart"/>
      <w:r>
        <w:rPr>
          <w:rFonts w:ascii="Times New Roman" w:eastAsia="Times New Roman" w:hAnsi="Times New Roman" w:cs="Times New Roman"/>
          <w:sz w:val="24"/>
          <w:szCs w:val="24"/>
        </w:rPr>
        <w:t>Deardorff</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Allain</w:t>
      </w:r>
      <w:proofErr w:type="spellEnd"/>
      <w:r>
        <w:rPr>
          <w:rFonts w:ascii="Times New Roman" w:eastAsia="Times New Roman" w:hAnsi="Times New Roman" w:cs="Times New Roman"/>
          <w:sz w:val="24"/>
          <w:szCs w:val="24"/>
        </w:rPr>
        <w:t>, R. J</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Risley</w:t>
      </w:r>
      <w:proofErr w:type="spellEnd"/>
      <w:r>
        <w:rPr>
          <w:rFonts w:ascii="Times New Roman" w:eastAsia="Times New Roman" w:hAnsi="Times New Roman" w:cs="Times New Roman"/>
          <w:sz w:val="24"/>
          <w:szCs w:val="24"/>
        </w:rPr>
        <w:t xml:space="preserve">, J. S. (2007). The student-centered activities for large enrollment undergraduate programs (SCALE-UP) project. </w:t>
      </w:r>
      <w:r>
        <w:rPr>
          <w:rFonts w:ascii="Times New Roman" w:eastAsia="Times New Roman" w:hAnsi="Times New Roman" w:cs="Times New Roman"/>
          <w:i/>
          <w:sz w:val="24"/>
          <w:szCs w:val="24"/>
        </w:rPr>
        <w:t>Research-Based Reform of University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 2–39.</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Brewe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Sawtelle</w:t>
      </w:r>
      <w:proofErr w:type="spellEnd"/>
      <w:r>
        <w:rPr>
          <w:rFonts w:ascii="Times New Roman" w:eastAsia="Times New Roman" w:hAnsi="Times New Roman" w:cs="Times New Roman"/>
          <w:sz w:val="24"/>
          <w:szCs w:val="24"/>
        </w:rPr>
        <w:t xml:space="preserve">, V., Kramer, L. H., O’Brien, G. E., Rodriguez, I., &amp; </w:t>
      </w:r>
      <w:proofErr w:type="spellStart"/>
      <w:r>
        <w:rPr>
          <w:rFonts w:ascii="Times New Roman" w:eastAsia="Times New Roman" w:hAnsi="Times New Roman" w:cs="Times New Roman"/>
          <w:sz w:val="24"/>
          <w:szCs w:val="24"/>
        </w:rPr>
        <w:t>Pamelá</w:t>
      </w:r>
      <w:proofErr w:type="spellEnd"/>
      <w:r>
        <w:rPr>
          <w:rFonts w:ascii="Times New Roman" w:eastAsia="Times New Roman" w:hAnsi="Times New Roman" w:cs="Times New Roman"/>
          <w:sz w:val="24"/>
          <w:szCs w:val="24"/>
        </w:rPr>
        <w:t xml:space="preserve">, P. (2010). Toward equity through participation in Modeling Instruction in introductory university physics. </w:t>
      </w:r>
      <w:r>
        <w:rPr>
          <w:rFonts w:ascii="Times New Roman" w:eastAsia="Times New Roman" w:hAnsi="Times New Roman" w:cs="Times New Roman"/>
          <w:i/>
          <w:sz w:val="24"/>
          <w:szCs w:val="24"/>
        </w:rPr>
        <w:t>Physical Review Special Topics-Physics Education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10106.</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Brewer, C. A., &amp; Smith, D. (2011). Vision and change in undergraduate biology education: a call to action. </w:t>
      </w:r>
      <w:r>
        <w:rPr>
          <w:rFonts w:ascii="Times New Roman" w:eastAsia="Times New Roman" w:hAnsi="Times New Roman" w:cs="Times New Roman"/>
          <w:i/>
          <w:sz w:val="24"/>
          <w:szCs w:val="24"/>
        </w:rPr>
        <w:t>American Association for the Advancement of Science, Washington, DC</w:t>
      </w:r>
      <w:r>
        <w:rPr>
          <w:rFonts w:ascii="Times New Roman" w:eastAsia="Times New Roman" w:hAnsi="Times New Roman" w:cs="Times New Roman"/>
          <w:sz w:val="24"/>
          <w:szCs w:val="24"/>
        </w:rPr>
        <w:t>.</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Brewer, S., &amp; Klein, J. D. (2006). Type of positive interdependence and affiliation motive in an asynchronous, collaborative learning environment. </w:t>
      </w:r>
      <w:r>
        <w:rPr>
          <w:rFonts w:ascii="Times New Roman" w:eastAsia="Times New Roman" w:hAnsi="Times New Roman" w:cs="Times New Roman"/>
          <w:i/>
          <w:sz w:val="24"/>
          <w:szCs w:val="24"/>
        </w:rPr>
        <w:t>Educational Technology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54</w:t>
      </w:r>
      <w:r>
        <w:rPr>
          <w:rFonts w:ascii="Times New Roman" w:eastAsia="Times New Roman" w:hAnsi="Times New Roman" w:cs="Times New Roman"/>
          <w:sz w:val="24"/>
          <w:szCs w:val="24"/>
        </w:rPr>
        <w:t>(4), 331–354.</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Clance</w:t>
      </w:r>
      <w:proofErr w:type="spellEnd"/>
      <w:r>
        <w:rPr>
          <w:rFonts w:ascii="Times New Roman" w:eastAsia="Times New Roman" w:hAnsi="Times New Roman" w:cs="Times New Roman"/>
          <w:sz w:val="24"/>
          <w:szCs w:val="24"/>
        </w:rPr>
        <w:t xml:space="preserve">, P. R. (1985). </w:t>
      </w:r>
      <w:r>
        <w:rPr>
          <w:rFonts w:ascii="Times New Roman" w:eastAsia="Times New Roman" w:hAnsi="Times New Roman" w:cs="Times New Roman"/>
          <w:i/>
          <w:sz w:val="24"/>
          <w:szCs w:val="24"/>
        </w:rPr>
        <w:t>The impostor phenomenon: Overcoming the fear that haunts your success</w:t>
      </w:r>
      <w:r>
        <w:rPr>
          <w:rFonts w:ascii="Times New Roman" w:eastAsia="Times New Roman" w:hAnsi="Times New Roman" w:cs="Times New Roman"/>
          <w:sz w:val="24"/>
          <w:szCs w:val="24"/>
        </w:rPr>
        <w:t>. Peachtree Pub Ltd.</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G. L., &amp; Garcia, J. (2008). Identity, belonging, and achievement a model, interventions, implications. </w:t>
      </w:r>
      <w:r>
        <w:rPr>
          <w:rFonts w:ascii="Times New Roman" w:eastAsia="Times New Roman" w:hAnsi="Times New Roman" w:cs="Times New Roman"/>
          <w:i/>
          <w:sz w:val="24"/>
          <w:szCs w:val="24"/>
        </w:rPr>
        <w:t>Current Directions in Psychological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(6), 365–369.</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Colby, S. L., &amp; </w:t>
      </w:r>
      <w:proofErr w:type="spellStart"/>
      <w:r>
        <w:rPr>
          <w:rFonts w:ascii="Times New Roman" w:eastAsia="Times New Roman" w:hAnsi="Times New Roman" w:cs="Times New Roman"/>
          <w:sz w:val="24"/>
          <w:szCs w:val="24"/>
        </w:rPr>
        <w:t>Ortman</w:t>
      </w:r>
      <w:proofErr w:type="spellEnd"/>
      <w:r>
        <w:rPr>
          <w:rFonts w:ascii="Times New Roman" w:eastAsia="Times New Roman" w:hAnsi="Times New Roman" w:cs="Times New Roman"/>
          <w:sz w:val="24"/>
          <w:szCs w:val="24"/>
        </w:rPr>
        <w:t xml:space="preserve">, J. M. (2015). Projections of the Size and Composition of the US Population: 2014 to 2060. </w:t>
      </w:r>
      <w:r>
        <w:rPr>
          <w:rFonts w:ascii="Times New Roman" w:eastAsia="Times New Roman" w:hAnsi="Times New Roman" w:cs="Times New Roman"/>
          <w:i/>
          <w:sz w:val="24"/>
          <w:szCs w:val="24"/>
        </w:rPr>
        <w:t>US Census Bureau, Ed</w:t>
      </w:r>
      <w:r>
        <w:rPr>
          <w:rFonts w:ascii="Times New Roman" w:eastAsia="Times New Roman" w:hAnsi="Times New Roman" w:cs="Times New Roman"/>
          <w:sz w:val="24"/>
          <w:szCs w:val="24"/>
        </w:rPr>
        <w:t>, 25–1143.</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Cotner</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Ballen</w:t>
      </w:r>
      <w:proofErr w:type="spellEnd"/>
      <w:r>
        <w:rPr>
          <w:rFonts w:ascii="Times New Roman" w:eastAsia="Times New Roman" w:hAnsi="Times New Roman" w:cs="Times New Roman"/>
          <w:sz w:val="24"/>
          <w:szCs w:val="24"/>
        </w:rPr>
        <w:t xml:space="preserve">, C., Brooks, D. C., &amp; Moore, R. (2011). Instructor Gender and Student Confidence in the Sciences: A Need for More Role Models? </w:t>
      </w:r>
      <w:r>
        <w:rPr>
          <w:rFonts w:ascii="Times New Roman" w:eastAsia="Times New Roman" w:hAnsi="Times New Roman" w:cs="Times New Roman"/>
          <w:i/>
          <w:sz w:val="24"/>
          <w:szCs w:val="24"/>
        </w:rPr>
        <w:t>Journal of College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(5), 96.</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Crombie, G., Pyke, S. W., </w:t>
      </w:r>
      <w:proofErr w:type="spellStart"/>
      <w:r>
        <w:rPr>
          <w:rFonts w:ascii="Times New Roman" w:eastAsia="Times New Roman" w:hAnsi="Times New Roman" w:cs="Times New Roman"/>
          <w:sz w:val="24"/>
          <w:szCs w:val="24"/>
        </w:rPr>
        <w:t>Silverthorn</w:t>
      </w:r>
      <w:proofErr w:type="spellEnd"/>
      <w:r>
        <w:rPr>
          <w:rFonts w:ascii="Times New Roman" w:eastAsia="Times New Roman" w:hAnsi="Times New Roman" w:cs="Times New Roman"/>
          <w:sz w:val="24"/>
          <w:szCs w:val="24"/>
        </w:rPr>
        <w:t xml:space="preserve">, N., Jones, A., &amp; </w:t>
      </w:r>
      <w:proofErr w:type="spellStart"/>
      <w:r>
        <w:rPr>
          <w:rFonts w:ascii="Times New Roman" w:eastAsia="Times New Roman" w:hAnsi="Times New Roman" w:cs="Times New Roman"/>
          <w:sz w:val="24"/>
          <w:szCs w:val="24"/>
        </w:rPr>
        <w:t>Piccinin</w:t>
      </w:r>
      <w:proofErr w:type="spellEnd"/>
      <w:r>
        <w:rPr>
          <w:rFonts w:ascii="Times New Roman" w:eastAsia="Times New Roman" w:hAnsi="Times New Roman" w:cs="Times New Roman"/>
          <w:sz w:val="24"/>
          <w:szCs w:val="24"/>
        </w:rPr>
        <w:t xml:space="preserve">, S. (2003). Students’ perceptions of their classroom participation and instructor as a function of gender and context. </w:t>
      </w:r>
      <w:r>
        <w:rPr>
          <w:rFonts w:ascii="Times New Roman" w:eastAsia="Times New Roman" w:hAnsi="Times New Roman" w:cs="Times New Roman"/>
          <w:i/>
          <w:sz w:val="24"/>
          <w:szCs w:val="24"/>
        </w:rPr>
        <w:t>The Journal of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(1), 51–76.</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Cundiff</w:t>
      </w:r>
      <w:proofErr w:type="spellEnd"/>
      <w:r>
        <w:rPr>
          <w:rFonts w:ascii="Times New Roman" w:eastAsia="Times New Roman" w:hAnsi="Times New Roman" w:cs="Times New Roman"/>
          <w:sz w:val="24"/>
          <w:szCs w:val="24"/>
        </w:rPr>
        <w:t xml:space="preserve">, J. L., </w:t>
      </w:r>
      <w:proofErr w:type="spellStart"/>
      <w:r>
        <w:rPr>
          <w:rFonts w:ascii="Times New Roman" w:eastAsia="Times New Roman" w:hAnsi="Times New Roman" w:cs="Times New Roman"/>
          <w:sz w:val="24"/>
          <w:szCs w:val="24"/>
        </w:rPr>
        <w:t>Vescio</w:t>
      </w:r>
      <w:proofErr w:type="spellEnd"/>
      <w:r>
        <w:rPr>
          <w:rFonts w:ascii="Times New Roman" w:eastAsia="Times New Roman" w:hAnsi="Times New Roman" w:cs="Times New Roman"/>
          <w:sz w:val="24"/>
          <w:szCs w:val="24"/>
        </w:rPr>
        <w:t xml:space="preserve">, T. K., </w:t>
      </w:r>
      <w:proofErr w:type="spellStart"/>
      <w:r>
        <w:rPr>
          <w:rFonts w:ascii="Times New Roman" w:eastAsia="Times New Roman" w:hAnsi="Times New Roman" w:cs="Times New Roman"/>
          <w:sz w:val="24"/>
          <w:szCs w:val="24"/>
        </w:rPr>
        <w:t>Loken</w:t>
      </w:r>
      <w:proofErr w:type="spellEnd"/>
      <w:r>
        <w:rPr>
          <w:rFonts w:ascii="Times New Roman" w:eastAsia="Times New Roman" w:hAnsi="Times New Roman" w:cs="Times New Roman"/>
          <w:sz w:val="24"/>
          <w:szCs w:val="24"/>
        </w:rPr>
        <w:t xml:space="preserve">, E., &amp; Lo, L. (2013). Do gender–science stereotypes predict science identification and science career aspirations among undergraduate science majors? </w:t>
      </w:r>
      <w:r>
        <w:rPr>
          <w:rFonts w:ascii="Times New Roman" w:eastAsia="Times New Roman" w:hAnsi="Times New Roman" w:cs="Times New Roman"/>
          <w:i/>
          <w:sz w:val="24"/>
          <w:szCs w:val="24"/>
        </w:rPr>
        <w:t>Social Psychology of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(4), 541–554.</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Eddy, S. L., &amp; Brownell, S. E. (2016). Beneath the numbers: A review of gender disparities in undergraduate education across science, technology, engineering, and math disciplines. </w:t>
      </w:r>
      <w:r>
        <w:rPr>
          <w:rFonts w:ascii="Times New Roman" w:eastAsia="Times New Roman" w:hAnsi="Times New Roman" w:cs="Times New Roman"/>
          <w:i/>
          <w:sz w:val="24"/>
          <w:szCs w:val="24"/>
        </w:rPr>
        <w:t>Physical Review Physics Education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(2), 20106.</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Eddy, S. L., Brownell, S. E., </w:t>
      </w:r>
      <w:proofErr w:type="spellStart"/>
      <w:r>
        <w:rPr>
          <w:rFonts w:ascii="Times New Roman" w:eastAsia="Times New Roman" w:hAnsi="Times New Roman" w:cs="Times New Roman"/>
          <w:sz w:val="24"/>
          <w:szCs w:val="24"/>
        </w:rPr>
        <w:t>Thummaphan</w:t>
      </w:r>
      <w:proofErr w:type="spellEnd"/>
      <w:r>
        <w:rPr>
          <w:rFonts w:ascii="Times New Roman" w:eastAsia="Times New Roman" w:hAnsi="Times New Roman" w:cs="Times New Roman"/>
          <w:sz w:val="24"/>
          <w:szCs w:val="24"/>
        </w:rPr>
        <w:t xml:space="preserve">, P., </w:t>
      </w:r>
      <w:proofErr w:type="gramStart"/>
      <w:r>
        <w:rPr>
          <w:rFonts w:ascii="Times New Roman" w:eastAsia="Times New Roman" w:hAnsi="Times New Roman" w:cs="Times New Roman"/>
          <w:sz w:val="24"/>
          <w:szCs w:val="24"/>
        </w:rPr>
        <w:t>Lan</w:t>
      </w:r>
      <w:proofErr w:type="gramEnd"/>
      <w:r>
        <w:rPr>
          <w:rFonts w:ascii="Times New Roman" w:eastAsia="Times New Roman" w:hAnsi="Times New Roman" w:cs="Times New Roman"/>
          <w:sz w:val="24"/>
          <w:szCs w:val="24"/>
        </w:rPr>
        <w:t xml:space="preserve">, M.-C.,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M. P. (2015). Caution, student experience may vary: social identities impact a student’s experience in peer discussions. </w:t>
      </w:r>
      <w:r>
        <w:rPr>
          <w:rFonts w:ascii="Times New Roman" w:eastAsia="Times New Roman" w:hAnsi="Times New Roman" w:cs="Times New Roman"/>
          <w:i/>
          <w:sz w:val="24"/>
          <w:szCs w:val="24"/>
        </w:rPr>
        <w:t>CBE—Life Sciences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(4), ar45.</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Eddy, S. L., Brownell, S. E.,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M. P. (2014). Gender gaps in achievement and participation in multiple introductory biology classrooms. </w:t>
      </w:r>
      <w:r>
        <w:rPr>
          <w:rFonts w:ascii="Times New Roman" w:eastAsia="Times New Roman" w:hAnsi="Times New Roman" w:cs="Times New Roman"/>
          <w:i/>
          <w:sz w:val="24"/>
          <w:szCs w:val="24"/>
        </w:rPr>
        <w:t>CBE-Life Sciences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(3), 478–492.</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Eddy, S. L., &amp; Hogan, K. A. (2014). Getting under the hood: how and for whom does increasing course structure work? </w:t>
      </w:r>
      <w:r>
        <w:rPr>
          <w:rFonts w:ascii="Times New Roman" w:eastAsia="Times New Roman" w:hAnsi="Times New Roman" w:cs="Times New Roman"/>
          <w:i/>
          <w:sz w:val="24"/>
          <w:szCs w:val="24"/>
        </w:rPr>
        <w:t>CBE-Life Sciences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(3), 453–468.</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Examinations Institute of the American Chemical Society Division of Education. First-Term General Chemistry. (2002). </w:t>
      </w:r>
      <w:r>
        <w:rPr>
          <w:rFonts w:ascii="Times New Roman" w:eastAsia="Times New Roman" w:hAnsi="Times New Roman" w:cs="Times New Roman"/>
          <w:i/>
          <w:sz w:val="24"/>
          <w:szCs w:val="24"/>
        </w:rPr>
        <w:t xml:space="preserve">University of </w:t>
      </w:r>
      <w:proofErr w:type="spellStart"/>
      <w:r>
        <w:rPr>
          <w:rFonts w:ascii="Times New Roman" w:eastAsia="Times New Roman" w:hAnsi="Times New Roman" w:cs="Times New Roman"/>
          <w:i/>
          <w:sz w:val="24"/>
          <w:szCs w:val="24"/>
        </w:rPr>
        <w:t>Wisconsin_Milwaukee</w:t>
      </w:r>
      <w:proofErr w:type="spellEnd"/>
      <w:r>
        <w:rPr>
          <w:rFonts w:ascii="Times New Roman" w:eastAsia="Times New Roman" w:hAnsi="Times New Roman" w:cs="Times New Roman"/>
          <w:i/>
          <w:sz w:val="24"/>
          <w:szCs w:val="24"/>
        </w:rPr>
        <w:t>: Milwaukee, WI</w:t>
      </w:r>
      <w:r>
        <w:rPr>
          <w:rFonts w:ascii="Times New Roman" w:eastAsia="Times New Roman" w:hAnsi="Times New Roman" w:cs="Times New Roman"/>
          <w:sz w:val="24"/>
          <w:szCs w:val="24"/>
        </w:rPr>
        <w:t>.</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S., Eddy, S. L., McDonough, M., Smith, M. K., </w:t>
      </w:r>
      <w:proofErr w:type="spellStart"/>
      <w:r>
        <w:rPr>
          <w:rFonts w:ascii="Times New Roman" w:eastAsia="Times New Roman" w:hAnsi="Times New Roman" w:cs="Times New Roman"/>
          <w:sz w:val="24"/>
          <w:szCs w:val="24"/>
        </w:rPr>
        <w:t>Okoroafor</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Jordt</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M. P. (2014). Active learning increases student performance in science, engineering, and mathematics. </w:t>
      </w:r>
      <w:r>
        <w:rPr>
          <w:rFonts w:ascii="Times New Roman" w:eastAsia="Times New Roman" w:hAnsi="Times New Roman" w:cs="Times New Roman"/>
          <w:i/>
          <w:sz w:val="24"/>
          <w:szCs w:val="24"/>
        </w:rPr>
        <w:t>Proceedings of the National Academy of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111</w:t>
      </w:r>
      <w:r>
        <w:rPr>
          <w:rFonts w:ascii="Times New Roman" w:eastAsia="Times New Roman" w:hAnsi="Times New Roman" w:cs="Times New Roman"/>
          <w:sz w:val="24"/>
          <w:szCs w:val="24"/>
        </w:rPr>
        <w:t>(23), 8410–8415.</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S., </w:t>
      </w:r>
      <w:proofErr w:type="spellStart"/>
      <w:r>
        <w:rPr>
          <w:rFonts w:ascii="Times New Roman" w:eastAsia="Times New Roman" w:hAnsi="Times New Roman" w:cs="Times New Roman"/>
          <w:sz w:val="24"/>
          <w:szCs w:val="24"/>
        </w:rPr>
        <w:t>Haak</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Wenderoth</w:t>
      </w:r>
      <w:proofErr w:type="spellEnd"/>
      <w:r>
        <w:rPr>
          <w:rFonts w:ascii="Times New Roman" w:eastAsia="Times New Roman" w:hAnsi="Times New Roman" w:cs="Times New Roman"/>
          <w:sz w:val="24"/>
          <w:szCs w:val="24"/>
        </w:rPr>
        <w:t xml:space="preserve">, M. P. (2011). Increased course structure improves performance in introductory biology. </w:t>
      </w:r>
      <w:r>
        <w:rPr>
          <w:rFonts w:ascii="Times New Roman" w:eastAsia="Times New Roman" w:hAnsi="Times New Roman" w:cs="Times New Roman"/>
          <w:i/>
          <w:sz w:val="24"/>
          <w:szCs w:val="24"/>
        </w:rPr>
        <w:t xml:space="preserve">CBE Life </w:t>
      </w:r>
      <w:proofErr w:type="spellStart"/>
      <w:r>
        <w:rPr>
          <w:rFonts w:ascii="Times New Roman" w:eastAsia="Times New Roman" w:hAnsi="Times New Roman" w:cs="Times New Roman"/>
          <w:i/>
          <w:sz w:val="24"/>
          <w:szCs w:val="24"/>
        </w:rPr>
        <w:t>Sci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(2), 175–186. https://doi.org/10.1187/cbe.10-08-0105</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Grunspan</w:t>
      </w:r>
      <w:proofErr w:type="spellEnd"/>
      <w:r>
        <w:rPr>
          <w:rFonts w:ascii="Times New Roman" w:eastAsia="Times New Roman" w:hAnsi="Times New Roman" w:cs="Times New Roman"/>
          <w:sz w:val="24"/>
          <w:szCs w:val="24"/>
        </w:rPr>
        <w:t xml:space="preserve">, D. Z., Eddy, S. L., Brownell, S. E., Wiggins, B. L., Crowe, A. J., &amp; </w:t>
      </w:r>
      <w:proofErr w:type="spellStart"/>
      <w:r>
        <w:rPr>
          <w:rFonts w:ascii="Times New Roman" w:eastAsia="Times New Roman" w:hAnsi="Times New Roman" w:cs="Times New Roman"/>
          <w:sz w:val="24"/>
          <w:szCs w:val="24"/>
        </w:rPr>
        <w:t>Goodreau</w:t>
      </w:r>
      <w:proofErr w:type="spellEnd"/>
      <w:r>
        <w:rPr>
          <w:rFonts w:ascii="Times New Roman" w:eastAsia="Times New Roman" w:hAnsi="Times New Roman" w:cs="Times New Roman"/>
          <w:sz w:val="24"/>
          <w:szCs w:val="24"/>
        </w:rPr>
        <w:t xml:space="preserve">, S. M. (2016). </w:t>
      </w:r>
      <w:proofErr w:type="gramStart"/>
      <w:r>
        <w:rPr>
          <w:rFonts w:ascii="Times New Roman" w:eastAsia="Times New Roman" w:hAnsi="Times New Roman" w:cs="Times New Roman"/>
          <w:sz w:val="24"/>
          <w:szCs w:val="24"/>
        </w:rPr>
        <w:t>Males</w:t>
      </w:r>
      <w:proofErr w:type="gramEnd"/>
      <w:r>
        <w:rPr>
          <w:rFonts w:ascii="Times New Roman" w:eastAsia="Times New Roman" w:hAnsi="Times New Roman" w:cs="Times New Roman"/>
          <w:sz w:val="24"/>
          <w:szCs w:val="24"/>
        </w:rPr>
        <w:t xml:space="preserve"> under-estimate academic performance of their female peers in undergraduate biology classrooms.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e0148405.</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Hausmann</w:t>
      </w:r>
      <w:proofErr w:type="spellEnd"/>
      <w:r>
        <w:rPr>
          <w:rFonts w:ascii="Times New Roman" w:eastAsia="Times New Roman" w:hAnsi="Times New Roman" w:cs="Times New Roman"/>
          <w:sz w:val="24"/>
          <w:szCs w:val="24"/>
        </w:rPr>
        <w:t xml:space="preserve">, L. R. M., Schofield, J. W., &amp; Woods, R. L. (2007). Sense of belonging as a predictor of intentions to persist among African American and White first-year college students. </w:t>
      </w:r>
      <w:r>
        <w:rPr>
          <w:rFonts w:ascii="Times New Roman" w:eastAsia="Times New Roman" w:hAnsi="Times New Roman" w:cs="Times New Roman"/>
          <w:i/>
          <w:sz w:val="24"/>
          <w:szCs w:val="24"/>
        </w:rPr>
        <w:t>Research in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48</w:t>
      </w:r>
      <w:r>
        <w:rPr>
          <w:rFonts w:ascii="Times New Roman" w:eastAsia="Times New Roman" w:hAnsi="Times New Roman" w:cs="Times New Roman"/>
          <w:sz w:val="24"/>
          <w:szCs w:val="24"/>
        </w:rPr>
        <w:t>(7), 803–839.</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Hazari</w:t>
      </w:r>
      <w:proofErr w:type="spellEnd"/>
      <w:r>
        <w:rPr>
          <w:rFonts w:ascii="Times New Roman" w:eastAsia="Times New Roman" w:hAnsi="Times New Roman" w:cs="Times New Roman"/>
          <w:sz w:val="24"/>
          <w:szCs w:val="24"/>
        </w:rPr>
        <w:t xml:space="preserve">, Z., Sadler, P. M., &amp; </w:t>
      </w:r>
      <w:proofErr w:type="spellStart"/>
      <w:r>
        <w:rPr>
          <w:rFonts w:ascii="Times New Roman" w:eastAsia="Times New Roman" w:hAnsi="Times New Roman" w:cs="Times New Roman"/>
          <w:sz w:val="24"/>
          <w:szCs w:val="24"/>
        </w:rPr>
        <w:t>Sonnert</w:t>
      </w:r>
      <w:proofErr w:type="spellEnd"/>
      <w:r>
        <w:rPr>
          <w:rFonts w:ascii="Times New Roman" w:eastAsia="Times New Roman" w:hAnsi="Times New Roman" w:cs="Times New Roman"/>
          <w:sz w:val="24"/>
          <w:szCs w:val="24"/>
        </w:rPr>
        <w:t xml:space="preserve">, G. (2013). The science identity of college students: Exploring the intersection of gender, race, and ethnicity. </w:t>
      </w:r>
      <w:r>
        <w:rPr>
          <w:rFonts w:ascii="Times New Roman" w:eastAsia="Times New Roman" w:hAnsi="Times New Roman" w:cs="Times New Roman"/>
          <w:i/>
          <w:sz w:val="24"/>
          <w:szCs w:val="24"/>
        </w:rPr>
        <w:t>Journal of College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42</w:t>
      </w:r>
      <w:r>
        <w:rPr>
          <w:rFonts w:ascii="Times New Roman" w:eastAsia="Times New Roman" w:hAnsi="Times New Roman" w:cs="Times New Roman"/>
          <w:sz w:val="24"/>
          <w:szCs w:val="24"/>
        </w:rPr>
        <w:t>(5), 82–91.</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Hernandez, P. R., Schultz, P. W., Estrada, M., Woodcock, A., &amp; Chance, R. C. (2013). Sustaining Optimal Motivation: A Longitudinal Analysis of Interventions to Broaden Participation of Underrepresented Students in STEM.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Educ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105</w:t>
      </w:r>
      <w:r>
        <w:rPr>
          <w:rFonts w:ascii="Times New Roman" w:eastAsia="Times New Roman" w:hAnsi="Times New Roman" w:cs="Times New Roman"/>
          <w:sz w:val="24"/>
          <w:szCs w:val="24"/>
        </w:rPr>
        <w:t>(1). https://doi.org/10.1037/a0029691</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Hestenes</w:t>
      </w:r>
      <w:proofErr w:type="spellEnd"/>
      <w:r>
        <w:rPr>
          <w:rFonts w:ascii="Times New Roman" w:eastAsia="Times New Roman" w:hAnsi="Times New Roman" w:cs="Times New Roman"/>
          <w:sz w:val="24"/>
          <w:szCs w:val="24"/>
        </w:rPr>
        <w:t xml:space="preserve">, D., Wells, M., &amp; </w:t>
      </w:r>
      <w:proofErr w:type="spellStart"/>
      <w:r>
        <w:rPr>
          <w:rFonts w:ascii="Times New Roman" w:eastAsia="Times New Roman" w:hAnsi="Times New Roman" w:cs="Times New Roman"/>
          <w:sz w:val="24"/>
          <w:szCs w:val="24"/>
        </w:rPr>
        <w:t>Swackhamer</w:t>
      </w:r>
      <w:proofErr w:type="spellEnd"/>
      <w:r>
        <w:rPr>
          <w:rFonts w:ascii="Times New Roman" w:eastAsia="Times New Roman" w:hAnsi="Times New Roman" w:cs="Times New Roman"/>
          <w:sz w:val="24"/>
          <w:szCs w:val="24"/>
        </w:rPr>
        <w:t xml:space="preserve">, G. (1992). Force concept inventory. </w:t>
      </w:r>
      <w:r>
        <w:rPr>
          <w:rFonts w:ascii="Times New Roman" w:eastAsia="Times New Roman" w:hAnsi="Times New Roman" w:cs="Times New Roman"/>
          <w:i/>
          <w:sz w:val="24"/>
          <w:szCs w:val="24"/>
        </w:rPr>
        <w:t>The Physics Teacher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(3), 141–158.</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Genao</w:t>
      </w:r>
      <w:proofErr w:type="spellEnd"/>
      <w:r>
        <w:rPr>
          <w:rFonts w:ascii="Times New Roman" w:eastAsia="Times New Roman" w:hAnsi="Times New Roman" w:cs="Times New Roman"/>
          <w:sz w:val="24"/>
          <w:szCs w:val="24"/>
        </w:rPr>
        <w:t xml:space="preserve">, J. G. (2018). The MCAT’s Restrictive Effect on the Minority Physician Pipeline: A Legal Perspective. </w:t>
      </w:r>
      <w:r>
        <w:rPr>
          <w:rFonts w:ascii="Times New Roman" w:eastAsia="Times New Roman" w:hAnsi="Times New Roman" w:cs="Times New Roman"/>
          <w:i/>
          <w:sz w:val="24"/>
          <w:szCs w:val="24"/>
        </w:rPr>
        <w:t>Ann Intern Med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169</w:t>
      </w:r>
      <w:r>
        <w:rPr>
          <w:rFonts w:ascii="Times New Roman" w:eastAsia="Times New Roman" w:hAnsi="Times New Roman" w:cs="Times New Roman"/>
          <w:sz w:val="24"/>
          <w:szCs w:val="24"/>
        </w:rPr>
        <w:t>, 403–404.</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Isbell, L. A., Young, T. P., &amp; Harcourt, A. H. (2012). Stag parties linger: continued gender bias in a female-rich scientific discipline.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(11), e49682.</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Kitchen, E., Reeve, S., Bell, J. D., </w:t>
      </w:r>
      <w:proofErr w:type="spellStart"/>
      <w:r>
        <w:rPr>
          <w:rFonts w:ascii="Times New Roman" w:eastAsia="Times New Roman" w:hAnsi="Times New Roman" w:cs="Times New Roman"/>
          <w:sz w:val="24"/>
          <w:szCs w:val="24"/>
        </w:rPr>
        <w:t>Sudweeks</w:t>
      </w:r>
      <w:proofErr w:type="spellEnd"/>
      <w:r>
        <w:rPr>
          <w:rFonts w:ascii="Times New Roman" w:eastAsia="Times New Roman" w:hAnsi="Times New Roman" w:cs="Times New Roman"/>
          <w:sz w:val="24"/>
          <w:szCs w:val="24"/>
        </w:rPr>
        <w:t xml:space="preserve">, R. R., &amp; Bradshaw, W. S. (2007). The development and application of affective assessment in an upper‐level cell biology course.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(8), 1057–1087.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Koester, B. P., </w:t>
      </w:r>
      <w:proofErr w:type="spellStart"/>
      <w:r>
        <w:rPr>
          <w:rFonts w:ascii="Times New Roman" w:eastAsia="Times New Roman" w:hAnsi="Times New Roman" w:cs="Times New Roman"/>
          <w:sz w:val="24"/>
          <w:szCs w:val="24"/>
        </w:rPr>
        <w:t>Grom</w:t>
      </w:r>
      <w:proofErr w:type="spellEnd"/>
      <w:r>
        <w:rPr>
          <w:rFonts w:ascii="Times New Roman" w:eastAsia="Times New Roman" w:hAnsi="Times New Roman" w:cs="Times New Roman"/>
          <w:sz w:val="24"/>
          <w:szCs w:val="24"/>
        </w:rPr>
        <w:t xml:space="preserve">, G., &amp; McKay, T. A. (2016). Patterns of gendered performance difference in introductory STEM courses. </w:t>
      </w:r>
      <w:proofErr w:type="spellStart"/>
      <w:r>
        <w:rPr>
          <w:rFonts w:ascii="Times New Roman" w:eastAsia="Times New Roman" w:hAnsi="Times New Roman" w:cs="Times New Roman"/>
          <w:i/>
          <w:sz w:val="24"/>
          <w:szCs w:val="24"/>
        </w:rPr>
        <w:t>ArXiv</w:t>
      </w:r>
      <w:proofErr w:type="spellEnd"/>
      <w:r>
        <w:rPr>
          <w:rFonts w:ascii="Times New Roman" w:eastAsia="Times New Roman" w:hAnsi="Times New Roman" w:cs="Times New Roman"/>
          <w:i/>
          <w:sz w:val="24"/>
          <w:szCs w:val="24"/>
        </w:rPr>
        <w:t xml:space="preserve"> Preprint ArXiv</w:t>
      </w:r>
      <w:proofErr w:type="gramStart"/>
      <w:r>
        <w:rPr>
          <w:rFonts w:ascii="Times New Roman" w:eastAsia="Times New Roman" w:hAnsi="Times New Roman" w:cs="Times New Roman"/>
          <w:i/>
          <w:sz w:val="24"/>
          <w:szCs w:val="24"/>
        </w:rPr>
        <w:t>:1608.07565</w:t>
      </w:r>
      <w:proofErr w:type="gramEnd"/>
      <w:r>
        <w:rPr>
          <w:rFonts w:ascii="Times New Roman" w:eastAsia="Times New Roman" w:hAnsi="Times New Roman" w:cs="Times New Roman"/>
          <w:sz w:val="24"/>
          <w:szCs w:val="24"/>
        </w:rPr>
        <w:t>.</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Kohl, P. B., &amp; </w:t>
      </w:r>
      <w:proofErr w:type="spellStart"/>
      <w:r>
        <w:rPr>
          <w:rFonts w:ascii="Times New Roman" w:eastAsia="Times New Roman" w:hAnsi="Times New Roman" w:cs="Times New Roman"/>
          <w:sz w:val="24"/>
          <w:szCs w:val="24"/>
        </w:rPr>
        <w:t>Kuo</w:t>
      </w:r>
      <w:proofErr w:type="spellEnd"/>
      <w:r>
        <w:rPr>
          <w:rFonts w:ascii="Times New Roman" w:eastAsia="Times New Roman" w:hAnsi="Times New Roman" w:cs="Times New Roman"/>
          <w:sz w:val="24"/>
          <w:szCs w:val="24"/>
        </w:rPr>
        <w:t xml:space="preserve">, H. V. (2009). Introductory Physics Gender Gaps: Pre‐and Post‐Studio Transition. In </w:t>
      </w:r>
      <w:r>
        <w:rPr>
          <w:rFonts w:ascii="Times New Roman" w:eastAsia="Times New Roman" w:hAnsi="Times New Roman" w:cs="Times New Roman"/>
          <w:i/>
          <w:sz w:val="24"/>
          <w:szCs w:val="24"/>
        </w:rPr>
        <w:t>AIP Conference Proceedings</w:t>
      </w:r>
      <w:r>
        <w:rPr>
          <w:rFonts w:ascii="Times New Roman" w:eastAsia="Times New Roman" w:hAnsi="Times New Roman" w:cs="Times New Roman"/>
          <w:sz w:val="24"/>
          <w:szCs w:val="24"/>
        </w:rPr>
        <w:t xml:space="preserve"> (Vol. 1179, pp. 173–176). AIP.</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Landivar</w:t>
      </w:r>
      <w:proofErr w:type="spellEnd"/>
      <w:r>
        <w:rPr>
          <w:rFonts w:ascii="Times New Roman" w:eastAsia="Times New Roman" w:hAnsi="Times New Roman" w:cs="Times New Roman"/>
          <w:sz w:val="24"/>
          <w:szCs w:val="24"/>
        </w:rPr>
        <w:t xml:space="preserve">, L. C. (2013). Disparities in STEM employment by sex, race, and Hispanic origin. </w:t>
      </w:r>
      <w:r>
        <w:rPr>
          <w:rFonts w:ascii="Times New Roman" w:eastAsia="Times New Roman" w:hAnsi="Times New Roman" w:cs="Times New Roman"/>
          <w:i/>
          <w:sz w:val="24"/>
          <w:szCs w:val="24"/>
        </w:rPr>
        <w:t>Education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(6), 911–922.</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Lawson, A. E., Banks, D. L., &amp; </w:t>
      </w:r>
      <w:proofErr w:type="spellStart"/>
      <w:r>
        <w:rPr>
          <w:rFonts w:ascii="Times New Roman" w:eastAsia="Times New Roman" w:hAnsi="Times New Roman" w:cs="Times New Roman"/>
          <w:sz w:val="24"/>
          <w:szCs w:val="24"/>
        </w:rPr>
        <w:t>Logvin</w:t>
      </w:r>
      <w:proofErr w:type="spellEnd"/>
      <w:r>
        <w:rPr>
          <w:rFonts w:ascii="Times New Roman" w:eastAsia="Times New Roman" w:hAnsi="Times New Roman" w:cs="Times New Roman"/>
          <w:sz w:val="24"/>
          <w:szCs w:val="24"/>
        </w:rPr>
        <w:t xml:space="preserve">, M. (2007). Self‐efficacy, reasoning ability, and achievement in college biology.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(5), 706–724.</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Ledin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Bornmann</w:t>
      </w:r>
      <w:proofErr w:type="spellEnd"/>
      <w:r>
        <w:rPr>
          <w:rFonts w:ascii="Times New Roman" w:eastAsia="Times New Roman" w:hAnsi="Times New Roman" w:cs="Times New Roman"/>
          <w:sz w:val="24"/>
          <w:szCs w:val="24"/>
        </w:rPr>
        <w:t xml:space="preserve">, L., Gannon, F., &amp; </w:t>
      </w:r>
      <w:proofErr w:type="spellStart"/>
      <w:r>
        <w:rPr>
          <w:rFonts w:ascii="Times New Roman" w:eastAsia="Times New Roman" w:hAnsi="Times New Roman" w:cs="Times New Roman"/>
          <w:sz w:val="24"/>
          <w:szCs w:val="24"/>
        </w:rPr>
        <w:t>Wallon</w:t>
      </w:r>
      <w:proofErr w:type="spellEnd"/>
      <w:r>
        <w:rPr>
          <w:rFonts w:ascii="Times New Roman" w:eastAsia="Times New Roman" w:hAnsi="Times New Roman" w:cs="Times New Roman"/>
          <w:sz w:val="24"/>
          <w:szCs w:val="24"/>
        </w:rPr>
        <w:t xml:space="preserve">, G. (2007). A persistent problem: Traditional gender roles hold back female scientists. </w:t>
      </w:r>
      <w:r>
        <w:rPr>
          <w:rFonts w:ascii="Times New Roman" w:eastAsia="Times New Roman" w:hAnsi="Times New Roman" w:cs="Times New Roman"/>
          <w:i/>
          <w:sz w:val="24"/>
          <w:szCs w:val="24"/>
        </w:rPr>
        <w:t>EMBO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(11), 982–987.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S. E. (2011). Retention and reform: An evaluation of peer-led team learning. </w:t>
      </w:r>
      <w:r>
        <w:rPr>
          <w:rFonts w:ascii="Times New Roman" w:eastAsia="Times New Roman" w:hAnsi="Times New Roman" w:cs="Times New Roman"/>
          <w:i/>
          <w:sz w:val="24"/>
          <w:szCs w:val="24"/>
        </w:rPr>
        <w:t>Journal of Chemical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(6), 703–707.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Lorenzo, M., Crouch, C. H., &amp; Mazur, E. (2006). Reducing the gender gap in the physics classroom. </w:t>
      </w:r>
      <w:r>
        <w:rPr>
          <w:rFonts w:ascii="Times New Roman" w:eastAsia="Times New Roman" w:hAnsi="Times New Roman" w:cs="Times New Roman"/>
          <w:i/>
          <w:sz w:val="24"/>
          <w:szCs w:val="24"/>
        </w:rPr>
        <w:t>American Journal of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(2), 118–122.</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Madsen, A., </w:t>
      </w:r>
      <w:proofErr w:type="spellStart"/>
      <w:r>
        <w:rPr>
          <w:rFonts w:ascii="Times New Roman" w:eastAsia="Times New Roman" w:hAnsi="Times New Roman" w:cs="Times New Roman"/>
          <w:sz w:val="24"/>
          <w:szCs w:val="24"/>
        </w:rPr>
        <w:t>McKagan</w:t>
      </w:r>
      <w:proofErr w:type="spellEnd"/>
      <w:r>
        <w:rPr>
          <w:rFonts w:ascii="Times New Roman" w:eastAsia="Times New Roman" w:hAnsi="Times New Roman" w:cs="Times New Roman"/>
          <w:sz w:val="24"/>
          <w:szCs w:val="24"/>
        </w:rPr>
        <w:t xml:space="preserve">, S. B., &amp; Sayre, E. C. (2013). Gender gap on concept inventories in physics: What is consistent, what is inconsistent, and what factors influence the gap? </w:t>
      </w:r>
      <w:r>
        <w:rPr>
          <w:rFonts w:ascii="Times New Roman" w:eastAsia="Times New Roman" w:hAnsi="Times New Roman" w:cs="Times New Roman"/>
          <w:i/>
          <w:sz w:val="24"/>
          <w:szCs w:val="24"/>
        </w:rPr>
        <w:t>Physical Review Special Topics-Physics Education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(2), 20121.</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Maloney, D. P., </w:t>
      </w:r>
      <w:proofErr w:type="spellStart"/>
      <w:r>
        <w:rPr>
          <w:rFonts w:ascii="Times New Roman" w:eastAsia="Times New Roman" w:hAnsi="Times New Roman" w:cs="Times New Roman"/>
          <w:sz w:val="24"/>
          <w:szCs w:val="24"/>
        </w:rPr>
        <w:t>O’Kuma</w:t>
      </w:r>
      <w:proofErr w:type="spellEnd"/>
      <w:r>
        <w:rPr>
          <w:rFonts w:ascii="Times New Roman" w:eastAsia="Times New Roman" w:hAnsi="Times New Roman" w:cs="Times New Roman"/>
          <w:sz w:val="24"/>
          <w:szCs w:val="24"/>
        </w:rPr>
        <w:t xml:space="preserve">, T. L., </w:t>
      </w:r>
      <w:proofErr w:type="spellStart"/>
      <w:r>
        <w:rPr>
          <w:rFonts w:ascii="Times New Roman" w:eastAsia="Times New Roman" w:hAnsi="Times New Roman" w:cs="Times New Roman"/>
          <w:sz w:val="24"/>
          <w:szCs w:val="24"/>
        </w:rPr>
        <w:t>Hieggelke</w:t>
      </w:r>
      <w:proofErr w:type="spellEnd"/>
      <w:r>
        <w:rPr>
          <w:rFonts w:ascii="Times New Roman" w:eastAsia="Times New Roman" w:hAnsi="Times New Roman" w:cs="Times New Roman"/>
          <w:sz w:val="24"/>
          <w:szCs w:val="24"/>
        </w:rPr>
        <w:t xml:space="preserve">, C. J., &amp; Van </w:t>
      </w:r>
      <w:proofErr w:type="spellStart"/>
      <w:r>
        <w:rPr>
          <w:rFonts w:ascii="Times New Roman" w:eastAsia="Times New Roman" w:hAnsi="Times New Roman" w:cs="Times New Roman"/>
          <w:sz w:val="24"/>
          <w:szCs w:val="24"/>
        </w:rPr>
        <w:t>Heuvelen</w:t>
      </w:r>
      <w:proofErr w:type="spellEnd"/>
      <w:r>
        <w:rPr>
          <w:rFonts w:ascii="Times New Roman" w:eastAsia="Times New Roman" w:hAnsi="Times New Roman" w:cs="Times New Roman"/>
          <w:sz w:val="24"/>
          <w:szCs w:val="24"/>
        </w:rPr>
        <w:t xml:space="preserve">, A. (2001). Surveying students’ conceptual knowledge of electricity and magnetism. </w:t>
      </w:r>
      <w:r>
        <w:rPr>
          <w:rFonts w:ascii="Times New Roman" w:eastAsia="Times New Roman" w:hAnsi="Times New Roman" w:cs="Times New Roman"/>
          <w:i/>
          <w:sz w:val="24"/>
          <w:szCs w:val="24"/>
        </w:rPr>
        <w:t>American Journal of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69</w:t>
      </w:r>
      <w:r>
        <w:rPr>
          <w:rFonts w:ascii="Times New Roman" w:eastAsia="Times New Roman" w:hAnsi="Times New Roman" w:cs="Times New Roman"/>
          <w:sz w:val="24"/>
          <w:szCs w:val="24"/>
        </w:rPr>
        <w:t>(S1), S12–S23.</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Matz</w:t>
      </w:r>
      <w:proofErr w:type="spellEnd"/>
      <w:r>
        <w:rPr>
          <w:rFonts w:ascii="Times New Roman" w:eastAsia="Times New Roman" w:hAnsi="Times New Roman" w:cs="Times New Roman"/>
          <w:sz w:val="24"/>
          <w:szCs w:val="24"/>
        </w:rPr>
        <w:t xml:space="preserve">, R. L., Koester, B. P., </w:t>
      </w:r>
      <w:proofErr w:type="spellStart"/>
      <w:r>
        <w:rPr>
          <w:rFonts w:ascii="Times New Roman" w:eastAsia="Times New Roman" w:hAnsi="Times New Roman" w:cs="Times New Roman"/>
          <w:sz w:val="24"/>
          <w:szCs w:val="24"/>
        </w:rPr>
        <w:t>Fiorini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Grom</w:t>
      </w:r>
      <w:proofErr w:type="spellEnd"/>
      <w:r>
        <w:rPr>
          <w:rFonts w:ascii="Times New Roman" w:eastAsia="Times New Roman" w:hAnsi="Times New Roman" w:cs="Times New Roman"/>
          <w:sz w:val="24"/>
          <w:szCs w:val="24"/>
        </w:rPr>
        <w:t xml:space="preserve">, G., Shepard, L., </w:t>
      </w:r>
      <w:proofErr w:type="spellStart"/>
      <w:r>
        <w:rPr>
          <w:rFonts w:ascii="Times New Roman" w:eastAsia="Times New Roman" w:hAnsi="Times New Roman" w:cs="Times New Roman"/>
          <w:sz w:val="24"/>
          <w:szCs w:val="24"/>
        </w:rPr>
        <w:t>Stangor</w:t>
      </w:r>
      <w:proofErr w:type="spellEnd"/>
      <w:r>
        <w:rPr>
          <w:rFonts w:ascii="Times New Roman" w:eastAsia="Times New Roman" w:hAnsi="Times New Roman" w:cs="Times New Roman"/>
          <w:sz w:val="24"/>
          <w:szCs w:val="24"/>
        </w:rPr>
        <w:t>, C. G</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McKay, T. A. (2017). Patterns of Gendered Performance Differences in Large Introductory Courses at Five Research Universities. </w:t>
      </w:r>
      <w:r>
        <w:rPr>
          <w:rFonts w:ascii="Times New Roman" w:eastAsia="Times New Roman" w:hAnsi="Times New Roman" w:cs="Times New Roman"/>
          <w:i/>
          <w:sz w:val="24"/>
          <w:szCs w:val="24"/>
        </w:rPr>
        <w:t>AERA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(4), 2332858417743754.</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McKay, T., </w:t>
      </w:r>
      <w:proofErr w:type="spellStart"/>
      <w:r>
        <w:rPr>
          <w:rFonts w:ascii="Times New Roman" w:eastAsia="Times New Roman" w:hAnsi="Times New Roman" w:cs="Times New Roman"/>
          <w:sz w:val="24"/>
          <w:szCs w:val="24"/>
        </w:rPr>
        <w:t>Grom</w:t>
      </w:r>
      <w:proofErr w:type="spellEnd"/>
      <w:r>
        <w:rPr>
          <w:rFonts w:ascii="Times New Roman" w:eastAsia="Times New Roman" w:hAnsi="Times New Roman" w:cs="Times New Roman"/>
          <w:sz w:val="24"/>
          <w:szCs w:val="24"/>
        </w:rPr>
        <w:t>, G., &amp; Koester, B. (2018). Categorization, Intersectionality, and Learning Analytics.</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Micari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Drane</w:t>
      </w:r>
      <w:proofErr w:type="spellEnd"/>
      <w:r>
        <w:rPr>
          <w:rFonts w:ascii="Times New Roman" w:eastAsia="Times New Roman" w:hAnsi="Times New Roman" w:cs="Times New Roman"/>
          <w:sz w:val="24"/>
          <w:szCs w:val="24"/>
        </w:rPr>
        <w:t xml:space="preserve">, D. (2011). Intimidation in small learning groups: The roles of social-comparison concern, comfort, and individual characteristics in student academic outcomes. </w:t>
      </w:r>
      <w:r>
        <w:rPr>
          <w:rFonts w:ascii="Times New Roman" w:eastAsia="Times New Roman" w:hAnsi="Times New Roman" w:cs="Times New Roman"/>
          <w:i/>
          <w:sz w:val="24"/>
          <w:szCs w:val="24"/>
        </w:rPr>
        <w:t>Active Learning in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(3), 175–187.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Milkman, K. L., </w:t>
      </w:r>
      <w:proofErr w:type="spellStart"/>
      <w:r>
        <w:rPr>
          <w:rFonts w:ascii="Times New Roman" w:eastAsia="Times New Roman" w:hAnsi="Times New Roman" w:cs="Times New Roman"/>
          <w:sz w:val="24"/>
          <w:szCs w:val="24"/>
        </w:rPr>
        <w:t>Akinola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Chugh</w:t>
      </w:r>
      <w:proofErr w:type="spellEnd"/>
      <w:r>
        <w:rPr>
          <w:rFonts w:ascii="Times New Roman" w:eastAsia="Times New Roman" w:hAnsi="Times New Roman" w:cs="Times New Roman"/>
          <w:sz w:val="24"/>
          <w:szCs w:val="24"/>
        </w:rPr>
        <w:t>, D. (2015). What happens before? A field experiment exploring how pay and representation differentially shape bias on the pathway into organizations.</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Academies of </w:t>
      </w:r>
      <w:proofErr w:type="gramStart"/>
      <w:r>
        <w:rPr>
          <w:rFonts w:ascii="Times New Roman" w:eastAsia="Times New Roman" w:hAnsi="Times New Roman" w:cs="Times New Roman"/>
          <w:sz w:val="24"/>
          <w:szCs w:val="24"/>
        </w:rPr>
        <w:t>Sciences  and</w:t>
      </w:r>
      <w:proofErr w:type="gramEnd"/>
      <w:r>
        <w:rPr>
          <w:rFonts w:ascii="Times New Roman" w:eastAsia="Times New Roman" w:hAnsi="Times New Roman" w:cs="Times New Roman"/>
          <w:sz w:val="24"/>
          <w:szCs w:val="24"/>
        </w:rPr>
        <w:t xml:space="preserve"> Medicine, E. (2016). </w:t>
      </w:r>
      <w:r>
        <w:rPr>
          <w:rFonts w:ascii="Times New Roman" w:eastAsia="Times New Roman" w:hAnsi="Times New Roman" w:cs="Times New Roman"/>
          <w:i/>
          <w:sz w:val="24"/>
          <w:szCs w:val="24"/>
        </w:rPr>
        <w:t>Barriers and opportunities for 2-year and 4-year stem degrees: systemic change to support students’ diverse pathways</w:t>
      </w:r>
      <w:r>
        <w:rPr>
          <w:rFonts w:ascii="Times New Roman" w:eastAsia="Times New Roman" w:hAnsi="Times New Roman" w:cs="Times New Roman"/>
          <w:sz w:val="24"/>
          <w:szCs w:val="24"/>
        </w:rPr>
        <w:t>. National Academies Press.</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H.-H. D., &amp; Ryan, A. M. (2008). Does stereotype threat affect test performance of minorities and women? A meta-analysis of experimental evidence. </w:t>
      </w:r>
      <w:r>
        <w:rPr>
          <w:rFonts w:ascii="Times New Roman" w:eastAsia="Times New Roman" w:hAnsi="Times New Roman" w:cs="Times New Roman"/>
          <w:i/>
          <w:sz w:val="24"/>
          <w:szCs w:val="24"/>
        </w:rPr>
        <w:t>Journal of 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93</w:t>
      </w:r>
      <w:r>
        <w:rPr>
          <w:rFonts w:ascii="Times New Roman" w:eastAsia="Times New Roman" w:hAnsi="Times New Roman" w:cs="Times New Roman"/>
          <w:sz w:val="24"/>
          <w:szCs w:val="24"/>
        </w:rPr>
        <w:t>(6), 1314.</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Nosek</w:t>
      </w:r>
      <w:proofErr w:type="spellEnd"/>
      <w:r>
        <w:rPr>
          <w:rFonts w:ascii="Times New Roman" w:eastAsia="Times New Roman" w:hAnsi="Times New Roman" w:cs="Times New Roman"/>
          <w:sz w:val="24"/>
          <w:szCs w:val="24"/>
        </w:rPr>
        <w:t xml:space="preserve">, B. A., Smyth, F. L., </w:t>
      </w:r>
      <w:proofErr w:type="spellStart"/>
      <w:r>
        <w:rPr>
          <w:rFonts w:ascii="Times New Roman" w:eastAsia="Times New Roman" w:hAnsi="Times New Roman" w:cs="Times New Roman"/>
          <w:sz w:val="24"/>
          <w:szCs w:val="24"/>
        </w:rPr>
        <w:t>Sriram</w:t>
      </w:r>
      <w:proofErr w:type="spellEnd"/>
      <w:r>
        <w:rPr>
          <w:rFonts w:ascii="Times New Roman" w:eastAsia="Times New Roman" w:hAnsi="Times New Roman" w:cs="Times New Roman"/>
          <w:sz w:val="24"/>
          <w:szCs w:val="24"/>
        </w:rPr>
        <w:t xml:space="preserve">, N., Lindner, N. M., </w:t>
      </w:r>
      <w:proofErr w:type="spellStart"/>
      <w:r>
        <w:rPr>
          <w:rFonts w:ascii="Times New Roman" w:eastAsia="Times New Roman" w:hAnsi="Times New Roman" w:cs="Times New Roman"/>
          <w:sz w:val="24"/>
          <w:szCs w:val="24"/>
        </w:rPr>
        <w:t>Devos</w:t>
      </w:r>
      <w:proofErr w:type="spellEnd"/>
      <w:r>
        <w:rPr>
          <w:rFonts w:ascii="Times New Roman" w:eastAsia="Times New Roman" w:hAnsi="Times New Roman" w:cs="Times New Roman"/>
          <w:sz w:val="24"/>
          <w:szCs w:val="24"/>
        </w:rPr>
        <w:t>, T., Ayala, 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Gonsalkorale</w:t>
      </w:r>
      <w:proofErr w:type="spellEnd"/>
      <w:r>
        <w:rPr>
          <w:rFonts w:ascii="Times New Roman" w:eastAsia="Times New Roman" w:hAnsi="Times New Roman" w:cs="Times New Roman"/>
          <w:sz w:val="24"/>
          <w:szCs w:val="24"/>
        </w:rPr>
        <w:t xml:space="preserve">, K. (2009). National differences in gender–science stereotypes predict national sex differences in science and math achievement. </w:t>
      </w:r>
      <w:r>
        <w:rPr>
          <w:rFonts w:ascii="Times New Roman" w:eastAsia="Times New Roman" w:hAnsi="Times New Roman" w:cs="Times New Roman"/>
          <w:i/>
          <w:sz w:val="24"/>
          <w:szCs w:val="24"/>
        </w:rPr>
        <w:t>Proceedings of the National Academy of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106</w:t>
      </w:r>
      <w:r>
        <w:rPr>
          <w:rFonts w:ascii="Times New Roman" w:eastAsia="Times New Roman" w:hAnsi="Times New Roman" w:cs="Times New Roman"/>
          <w:sz w:val="24"/>
          <w:szCs w:val="24"/>
        </w:rPr>
        <w:t>(26), 10593–10597.</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O’Dorchai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Meulders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Crippa</w:t>
      </w:r>
      <w:proofErr w:type="spellEnd"/>
      <w:r>
        <w:rPr>
          <w:rFonts w:ascii="Times New Roman" w:eastAsia="Times New Roman" w:hAnsi="Times New Roman" w:cs="Times New Roman"/>
          <w:sz w:val="24"/>
          <w:szCs w:val="24"/>
        </w:rPr>
        <w:t xml:space="preserve">, F., &amp; Margherita, A. (2009). </w:t>
      </w:r>
      <w:r>
        <w:rPr>
          <w:rFonts w:ascii="Times New Roman" w:eastAsia="Times New Roman" w:hAnsi="Times New Roman" w:cs="Times New Roman"/>
          <w:i/>
          <w:sz w:val="24"/>
          <w:szCs w:val="24"/>
        </w:rPr>
        <w:t>She figures 2009–Statistics and indicators on gender equality in science</w:t>
      </w:r>
      <w:r>
        <w:rPr>
          <w:rFonts w:ascii="Times New Roman" w:eastAsia="Times New Roman" w:hAnsi="Times New Roman" w:cs="Times New Roman"/>
          <w:sz w:val="24"/>
          <w:szCs w:val="24"/>
        </w:rPr>
        <w:t>. Publications Office of the European Union.</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Olson, S., &amp; Riordan, D. G. (2012). Engage to Excel: Producing One Million Additional College Graduates with Degrees in Science, Technology, Engineering, and Mathematics. Report to the President. </w:t>
      </w:r>
      <w:r>
        <w:rPr>
          <w:rFonts w:ascii="Times New Roman" w:eastAsia="Times New Roman" w:hAnsi="Times New Roman" w:cs="Times New Roman"/>
          <w:i/>
          <w:sz w:val="24"/>
          <w:szCs w:val="24"/>
        </w:rPr>
        <w:t>Executive Office of the President</w:t>
      </w:r>
      <w:r>
        <w:rPr>
          <w:rFonts w:ascii="Times New Roman" w:eastAsia="Times New Roman" w:hAnsi="Times New Roman" w:cs="Times New Roman"/>
          <w:sz w:val="24"/>
          <w:szCs w:val="24"/>
        </w:rPr>
        <w:t>.</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Picho</w:t>
      </w:r>
      <w:proofErr w:type="spellEnd"/>
      <w:r>
        <w:rPr>
          <w:rFonts w:ascii="Times New Roman" w:eastAsia="Times New Roman" w:hAnsi="Times New Roman" w:cs="Times New Roman"/>
          <w:sz w:val="24"/>
          <w:szCs w:val="24"/>
        </w:rPr>
        <w:t xml:space="preserve">, K., &amp; Brown, S. W. (2011). Can stereotype threat be measured? A validation of the Social Identities and Attitudes Scale (SIAS). </w:t>
      </w:r>
      <w:r>
        <w:rPr>
          <w:rFonts w:ascii="Times New Roman" w:eastAsia="Times New Roman" w:hAnsi="Times New Roman" w:cs="Times New Roman"/>
          <w:i/>
          <w:sz w:val="24"/>
          <w:szCs w:val="24"/>
        </w:rPr>
        <w:t>Journal of Advanced Academics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(3), 374–411.</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Pintrich</w:t>
      </w:r>
      <w:proofErr w:type="spellEnd"/>
      <w:r>
        <w:rPr>
          <w:rFonts w:ascii="Times New Roman" w:eastAsia="Times New Roman" w:hAnsi="Times New Roman" w:cs="Times New Roman"/>
          <w:sz w:val="24"/>
          <w:szCs w:val="24"/>
        </w:rPr>
        <w:t>, P. R. (1991). A manual for the use of the Motivated Strategies for Learning Questionnaire (MSLQ).</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Pollock, S. J., Finkelstein, N. D., &amp; </w:t>
      </w:r>
      <w:proofErr w:type="spellStart"/>
      <w:r>
        <w:rPr>
          <w:rFonts w:ascii="Times New Roman" w:eastAsia="Times New Roman" w:hAnsi="Times New Roman" w:cs="Times New Roman"/>
          <w:sz w:val="24"/>
          <w:szCs w:val="24"/>
        </w:rPr>
        <w:t>Kost</w:t>
      </w:r>
      <w:proofErr w:type="spellEnd"/>
      <w:r>
        <w:rPr>
          <w:rFonts w:ascii="Times New Roman" w:eastAsia="Times New Roman" w:hAnsi="Times New Roman" w:cs="Times New Roman"/>
          <w:sz w:val="24"/>
          <w:szCs w:val="24"/>
        </w:rPr>
        <w:t xml:space="preserve">, L. E. (2007). Reducing the gender gap in the physics classroom: How sufficient is interactive engagement? </w:t>
      </w:r>
      <w:r>
        <w:rPr>
          <w:rFonts w:ascii="Times New Roman" w:eastAsia="Times New Roman" w:hAnsi="Times New Roman" w:cs="Times New Roman"/>
          <w:i/>
          <w:sz w:val="24"/>
          <w:szCs w:val="24"/>
        </w:rPr>
        <w:t>Physical Review Special Topics-Physics Education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10107.</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Robnett</w:t>
      </w:r>
      <w:proofErr w:type="spellEnd"/>
      <w:r>
        <w:rPr>
          <w:rFonts w:ascii="Times New Roman" w:eastAsia="Times New Roman" w:hAnsi="Times New Roman" w:cs="Times New Roman"/>
          <w:sz w:val="24"/>
          <w:szCs w:val="24"/>
        </w:rPr>
        <w:t xml:space="preserve">, R. D., </w:t>
      </w:r>
      <w:proofErr w:type="spellStart"/>
      <w:r>
        <w:rPr>
          <w:rFonts w:ascii="Times New Roman" w:eastAsia="Times New Roman" w:hAnsi="Times New Roman" w:cs="Times New Roman"/>
          <w:sz w:val="24"/>
          <w:szCs w:val="24"/>
        </w:rPr>
        <w:t>Chemers</w:t>
      </w:r>
      <w:proofErr w:type="spellEnd"/>
      <w:r>
        <w:rPr>
          <w:rFonts w:ascii="Times New Roman" w:eastAsia="Times New Roman" w:hAnsi="Times New Roman" w:cs="Times New Roman"/>
          <w:sz w:val="24"/>
          <w:szCs w:val="24"/>
        </w:rPr>
        <w:t xml:space="preserve">, M. M., &amp; </w:t>
      </w:r>
      <w:proofErr w:type="spellStart"/>
      <w:r>
        <w:rPr>
          <w:rFonts w:ascii="Times New Roman" w:eastAsia="Times New Roman" w:hAnsi="Times New Roman" w:cs="Times New Roman"/>
          <w:sz w:val="24"/>
          <w:szCs w:val="24"/>
        </w:rPr>
        <w:t>Zurbriggen</w:t>
      </w:r>
      <w:proofErr w:type="spellEnd"/>
      <w:r>
        <w:rPr>
          <w:rFonts w:ascii="Times New Roman" w:eastAsia="Times New Roman" w:hAnsi="Times New Roman" w:cs="Times New Roman"/>
          <w:sz w:val="24"/>
          <w:szCs w:val="24"/>
        </w:rPr>
        <w:t xml:space="preserve">, E. L. (2015). Longitudinal associations among undergraduates’ research experience, self‐efficacy, and identity.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w:t>
      </w:r>
      <w:r>
        <w:rPr>
          <w:rFonts w:ascii="Times New Roman" w:eastAsia="Times New Roman" w:hAnsi="Times New Roman" w:cs="Times New Roman"/>
          <w:sz w:val="24"/>
          <w:szCs w:val="24"/>
        </w:rPr>
        <w:t>(6), 847–867.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Rowe, M. B. (1974a). Relation of wait‐time and rewards to the development of language, logic, and fate control: Part II‐Rewards.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(4), 291–308.</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Rowe, M. B. (1974b). Wait‐time and rewards as instructional variables, their influence on language, logic, and fate control: Part one‐wait‐time. </w:t>
      </w:r>
      <w:r>
        <w:rPr>
          <w:rFonts w:ascii="Times New Roman" w:eastAsia="Times New Roman" w:hAnsi="Times New Roman" w:cs="Times New Roman"/>
          <w:i/>
          <w:sz w:val="24"/>
          <w:szCs w:val="24"/>
        </w:rPr>
        <w:t>Journal of Research in Science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81–94.</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Rusbult</w:t>
      </w:r>
      <w:proofErr w:type="spellEnd"/>
      <w:r>
        <w:rPr>
          <w:rFonts w:ascii="Times New Roman" w:eastAsia="Times New Roman" w:hAnsi="Times New Roman" w:cs="Times New Roman"/>
          <w:sz w:val="24"/>
          <w:szCs w:val="24"/>
        </w:rPr>
        <w:t xml:space="preserve">, C. E., &amp; Van Lange, P. A. M. (2008). Why we need interdependence theory. </w:t>
      </w:r>
      <w:r>
        <w:rPr>
          <w:rFonts w:ascii="Times New Roman" w:eastAsia="Times New Roman" w:hAnsi="Times New Roman" w:cs="Times New Roman"/>
          <w:i/>
          <w:sz w:val="24"/>
          <w:szCs w:val="24"/>
        </w:rPr>
        <w:t>Social and Personality Psychology Compass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(5), 2049–2070.</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Salter, D. W., &amp; </w:t>
      </w:r>
      <w:proofErr w:type="spellStart"/>
      <w:r>
        <w:rPr>
          <w:rFonts w:ascii="Times New Roman" w:eastAsia="Times New Roman" w:hAnsi="Times New Roman" w:cs="Times New Roman"/>
          <w:sz w:val="24"/>
          <w:szCs w:val="24"/>
        </w:rPr>
        <w:t>Persaud</w:t>
      </w:r>
      <w:proofErr w:type="spellEnd"/>
      <w:r>
        <w:rPr>
          <w:rFonts w:ascii="Times New Roman" w:eastAsia="Times New Roman" w:hAnsi="Times New Roman" w:cs="Times New Roman"/>
          <w:sz w:val="24"/>
          <w:szCs w:val="24"/>
        </w:rPr>
        <w:t xml:space="preserve">, A. (2003). Women’s views of the factors that encourage and discourage classroom participation. </w:t>
      </w:r>
      <w:r>
        <w:rPr>
          <w:rFonts w:ascii="Times New Roman" w:eastAsia="Times New Roman" w:hAnsi="Times New Roman" w:cs="Times New Roman"/>
          <w:i/>
          <w:sz w:val="24"/>
          <w:szCs w:val="24"/>
        </w:rPr>
        <w:t>Journal of College Student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(6), 831–844.</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Schmader</w:t>
      </w:r>
      <w:proofErr w:type="spellEnd"/>
      <w:r>
        <w:rPr>
          <w:rFonts w:ascii="Times New Roman" w:eastAsia="Times New Roman" w:hAnsi="Times New Roman" w:cs="Times New Roman"/>
          <w:sz w:val="24"/>
          <w:szCs w:val="24"/>
        </w:rPr>
        <w:t xml:space="preserve">, T. (2002). Gender identification moderates stereotype threat effects on women’s math performance. </w:t>
      </w:r>
      <w:r>
        <w:rPr>
          <w:rFonts w:ascii="Times New Roman" w:eastAsia="Times New Roman" w:hAnsi="Times New Roman" w:cs="Times New Roman"/>
          <w:i/>
          <w:sz w:val="24"/>
          <w:szCs w:val="24"/>
        </w:rPr>
        <w:t>Journal of Experimental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(2), 194–201.</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Schmader</w:t>
      </w:r>
      <w:proofErr w:type="spellEnd"/>
      <w:r>
        <w:rPr>
          <w:rFonts w:ascii="Times New Roman" w:eastAsia="Times New Roman" w:hAnsi="Times New Roman" w:cs="Times New Roman"/>
          <w:sz w:val="24"/>
          <w:szCs w:val="24"/>
        </w:rPr>
        <w:t xml:space="preserve">, T., Johns, M., &amp; Forbes, C. (2008). An integrated process model of stereotype threat effects on performance. </w:t>
      </w:r>
      <w:r>
        <w:rPr>
          <w:rFonts w:ascii="Times New Roman" w:eastAsia="Times New Roman" w:hAnsi="Times New Roman" w:cs="Times New Roman"/>
          <w:i/>
          <w:sz w:val="24"/>
          <w:szCs w:val="24"/>
        </w:rPr>
        <w:t>Psychological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115</w:t>
      </w:r>
      <w:r>
        <w:rPr>
          <w:rFonts w:ascii="Times New Roman" w:eastAsia="Times New Roman" w:hAnsi="Times New Roman" w:cs="Times New Roman"/>
          <w:sz w:val="24"/>
          <w:szCs w:val="24"/>
        </w:rPr>
        <w:t>(2), 336.</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Schwemm</w:t>
      </w:r>
      <w:proofErr w:type="spellEnd"/>
      <w:r>
        <w:rPr>
          <w:rFonts w:ascii="Times New Roman" w:eastAsia="Times New Roman" w:hAnsi="Times New Roman" w:cs="Times New Roman"/>
          <w:sz w:val="24"/>
          <w:szCs w:val="24"/>
        </w:rPr>
        <w:t xml:space="preserve">, R. G. (2015). Fair Housing Litigation </w:t>
      </w: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Inclusive Communities: What’s New and What’s Not. </w:t>
      </w:r>
      <w:r>
        <w:rPr>
          <w:rFonts w:ascii="Times New Roman" w:eastAsia="Times New Roman" w:hAnsi="Times New Roman" w:cs="Times New Roman"/>
          <w:i/>
          <w:sz w:val="24"/>
          <w:szCs w:val="24"/>
        </w:rPr>
        <w:t>Colum. L. Rev. Sidebar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115</w:t>
      </w:r>
      <w:r>
        <w:rPr>
          <w:rFonts w:ascii="Times New Roman" w:eastAsia="Times New Roman" w:hAnsi="Times New Roman" w:cs="Times New Roman"/>
          <w:sz w:val="24"/>
          <w:szCs w:val="24"/>
        </w:rPr>
        <w:t>, 106.</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Shen, H. (2013). Inequality quantified: Mind the gender gap.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495</w:t>
      </w:r>
      <w:r>
        <w:rPr>
          <w:rFonts w:ascii="Times New Roman" w:eastAsia="Times New Roman" w:hAnsi="Times New Roman" w:cs="Times New Roman"/>
          <w:sz w:val="24"/>
          <w:szCs w:val="24"/>
        </w:rPr>
        <w:t>, 22–24.</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M. K., Jones, F. H. M., Gilbert, S. L., &amp; </w:t>
      </w:r>
      <w:proofErr w:type="spellStart"/>
      <w:r>
        <w:rPr>
          <w:rFonts w:ascii="Times New Roman" w:eastAsia="Times New Roman" w:hAnsi="Times New Roman" w:cs="Times New Roman"/>
          <w:sz w:val="24"/>
          <w:szCs w:val="24"/>
        </w:rPr>
        <w:t>Wieman</w:t>
      </w:r>
      <w:proofErr w:type="spellEnd"/>
      <w:r>
        <w:rPr>
          <w:rFonts w:ascii="Times New Roman" w:eastAsia="Times New Roman" w:hAnsi="Times New Roman" w:cs="Times New Roman"/>
          <w:sz w:val="24"/>
          <w:szCs w:val="24"/>
        </w:rPr>
        <w:t xml:space="preserve">, C. E. (2013). The Classroom Observation Protocol for Undergraduate STEM (COPUS): a new instrument to characterize university STEM classroom practices. </w:t>
      </w:r>
      <w:r>
        <w:rPr>
          <w:rFonts w:ascii="Times New Roman" w:eastAsia="Times New Roman" w:hAnsi="Times New Roman" w:cs="Times New Roman"/>
          <w:i/>
          <w:sz w:val="24"/>
          <w:szCs w:val="24"/>
        </w:rPr>
        <w:t>CBE-Life Sciences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(4), 618–627.</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Steele, C. M. (1997). A threat in the air. How stereotypes shape intellectual identity and performance. </w:t>
      </w:r>
      <w:r>
        <w:rPr>
          <w:rFonts w:ascii="Times New Roman" w:eastAsia="Times New Roman" w:hAnsi="Times New Roman" w:cs="Times New Roman"/>
          <w:i/>
          <w:sz w:val="24"/>
          <w:szCs w:val="24"/>
        </w:rPr>
        <w:t>American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w:t>
      </w:r>
      <w:r>
        <w:rPr>
          <w:rFonts w:ascii="Times New Roman" w:eastAsia="Times New Roman" w:hAnsi="Times New Roman" w:cs="Times New Roman"/>
          <w:sz w:val="24"/>
          <w:szCs w:val="24"/>
        </w:rPr>
        <w:t>(6), 613–629. Retrieved from http://www.ncbi.nlm.nih.gov/pubmed/9174398</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Steele, J., James, J. B., &amp; Barnett, R. C. (2002). Learning in a man’s world: Examining the perceptions of undergraduate women in male-dominated academic areas. </w:t>
      </w:r>
      <w:r>
        <w:rPr>
          <w:rFonts w:ascii="Times New Roman" w:eastAsia="Times New Roman" w:hAnsi="Times New Roman" w:cs="Times New Roman"/>
          <w:i/>
          <w:sz w:val="24"/>
          <w:szCs w:val="24"/>
        </w:rPr>
        <w:t>Psychology of Women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(1), 46–50.</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Stout, J. G., Ito, T. A., Finkelstein, N. D., &amp; Pollock, S. J. (2013). How a gender gap in belonging contributes to the gender gap in physics participation. In </w:t>
      </w:r>
      <w:r>
        <w:rPr>
          <w:rFonts w:ascii="Times New Roman" w:eastAsia="Times New Roman" w:hAnsi="Times New Roman" w:cs="Times New Roman"/>
          <w:i/>
          <w:sz w:val="24"/>
          <w:szCs w:val="24"/>
        </w:rPr>
        <w:t>AIP Conference Proceedings</w:t>
      </w:r>
      <w:r>
        <w:rPr>
          <w:rFonts w:ascii="Times New Roman" w:eastAsia="Times New Roman" w:hAnsi="Times New Roman" w:cs="Times New Roman"/>
          <w:sz w:val="24"/>
          <w:szCs w:val="24"/>
        </w:rPr>
        <w:t xml:space="preserve"> (Vol. 1513, pp. 402–405).</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Trujillo, G., &amp; Tanner, K. D. (2014). Considering the role of affect in learning: monitoring students’ self-efficacy, sense of belonging, and science identity. </w:t>
      </w:r>
      <w:r>
        <w:rPr>
          <w:rFonts w:ascii="Times New Roman" w:eastAsia="Times New Roman" w:hAnsi="Times New Roman" w:cs="Times New Roman"/>
          <w:i/>
          <w:sz w:val="24"/>
          <w:szCs w:val="24"/>
        </w:rPr>
        <w:t xml:space="preserve">CBE Life </w:t>
      </w:r>
      <w:proofErr w:type="spellStart"/>
      <w:r>
        <w:rPr>
          <w:rFonts w:ascii="Times New Roman" w:eastAsia="Times New Roman" w:hAnsi="Times New Roman" w:cs="Times New Roman"/>
          <w:i/>
          <w:sz w:val="24"/>
          <w:szCs w:val="24"/>
        </w:rPr>
        <w:t>Sci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6–15. https://doi.org/10.1187/cbe.13-12-0241</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Walton, G. M., &amp; Cohen, G. L. (2007). A question of belonging: race, social fit, and achievement.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92</w:t>
      </w:r>
      <w:r>
        <w:rPr>
          <w:rFonts w:ascii="Times New Roman" w:eastAsia="Times New Roman" w:hAnsi="Times New Roman" w:cs="Times New Roman"/>
          <w:sz w:val="24"/>
          <w:szCs w:val="24"/>
        </w:rPr>
        <w:t>(1), 82.</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Walton, G. M., &amp; Cohen, G. L. (2011). A brief social-belonging intervention improves academic and health outcomes of minority students.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331</w:t>
      </w:r>
      <w:r>
        <w:rPr>
          <w:rFonts w:ascii="Times New Roman" w:eastAsia="Times New Roman" w:hAnsi="Times New Roman" w:cs="Times New Roman"/>
          <w:sz w:val="24"/>
          <w:szCs w:val="24"/>
        </w:rPr>
        <w:t>(6023), 1447–1451. https://doi.org/10.1126/science.1198364</w:t>
      </w:r>
    </w:p>
    <w:p w:rsidR="001F7855" w:rsidRDefault="00743F0B">
      <w:pPr>
        <w:spacing w:after="120"/>
        <w:ind w:left="960" w:hanging="48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Watkins, J. E. (2010). </w:t>
      </w:r>
      <w:r>
        <w:rPr>
          <w:rFonts w:ascii="Times New Roman" w:eastAsia="Times New Roman" w:hAnsi="Times New Roman" w:cs="Times New Roman"/>
          <w:i/>
          <w:sz w:val="24"/>
          <w:szCs w:val="24"/>
        </w:rPr>
        <w:t>Examining issues of underrepresented minority students in introductory physics</w:t>
      </w:r>
      <w:r>
        <w:rPr>
          <w:rFonts w:ascii="Times New Roman" w:eastAsia="Times New Roman" w:hAnsi="Times New Roman" w:cs="Times New Roman"/>
          <w:sz w:val="24"/>
          <w:szCs w:val="24"/>
        </w:rPr>
        <w:t>. Harvard University.</w:t>
      </w:r>
    </w:p>
    <w:p w:rsidR="001F7855" w:rsidRDefault="00743F0B">
      <w:pPr>
        <w:spacing w:after="120"/>
        <w:ind w:left="960" w:hanging="48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Wold</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Wenneras</w:t>
      </w:r>
      <w:proofErr w:type="spellEnd"/>
      <w:r>
        <w:rPr>
          <w:rFonts w:ascii="Times New Roman" w:eastAsia="Times New Roman" w:hAnsi="Times New Roman" w:cs="Times New Roman"/>
          <w:sz w:val="24"/>
          <w:szCs w:val="24"/>
        </w:rPr>
        <w:t xml:space="preserve">, C. (2010). Nepotism and sexism in peer-review. In </w:t>
      </w:r>
      <w:r>
        <w:rPr>
          <w:rFonts w:ascii="Times New Roman" w:eastAsia="Times New Roman" w:hAnsi="Times New Roman" w:cs="Times New Roman"/>
          <w:i/>
          <w:sz w:val="24"/>
          <w:szCs w:val="24"/>
        </w:rPr>
        <w:t>Women, science, and technology</w:t>
      </w:r>
      <w:r>
        <w:rPr>
          <w:rFonts w:ascii="Times New Roman" w:eastAsia="Times New Roman" w:hAnsi="Times New Roman" w:cs="Times New Roman"/>
          <w:sz w:val="24"/>
          <w:szCs w:val="24"/>
        </w:rPr>
        <w:t xml:space="preserve"> (pp. 64–70). Routledge.</w:t>
      </w:r>
    </w:p>
    <w:p w:rsidR="001F7855" w:rsidRDefault="001F7855">
      <w:pPr>
        <w:contextualSpacing w:val="0"/>
        <w:rPr>
          <w:rFonts w:ascii="Times New Roman" w:eastAsia="Times New Roman" w:hAnsi="Times New Roman" w:cs="Times New Roman"/>
          <w:sz w:val="24"/>
          <w:szCs w:val="24"/>
        </w:rPr>
      </w:pPr>
    </w:p>
    <w:p w:rsidR="001F7855" w:rsidRDefault="00743F0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7855" w:rsidRDefault="001F7855">
      <w:pPr>
        <w:contextualSpacing w:val="0"/>
      </w:pPr>
    </w:p>
    <w:sectPr w:rsidR="001F78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F2" w:rsidRDefault="00D26BF2" w:rsidP="00D85895">
      <w:pPr>
        <w:spacing w:line="240" w:lineRule="auto"/>
      </w:pPr>
      <w:r>
        <w:separator/>
      </w:r>
    </w:p>
  </w:endnote>
  <w:endnote w:type="continuationSeparator" w:id="0">
    <w:p w:rsidR="00D26BF2" w:rsidRDefault="00D26BF2" w:rsidP="00D85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Default="00D85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Default="00D85895" w:rsidP="00D85895">
    <w:pPr>
      <w:rPr>
        <w:rFonts w:asciiTheme="majorHAnsi" w:hAnsiTheme="majorHAnsi"/>
      </w:rPr>
    </w:pPr>
  </w:p>
  <w:p w:rsidR="00D85895" w:rsidRPr="00D85895" w:rsidRDefault="00D85895" w:rsidP="00D85895">
    <w:pPr>
      <w:rPr>
        <w:rFonts w:asciiTheme="majorHAnsi" w:hAnsiTheme="majorHAnsi"/>
        <w:color w:val="000000"/>
        <w:sz w:val="20"/>
        <w:szCs w:val="20"/>
      </w:rPr>
    </w:pPr>
    <w:r w:rsidRPr="00D85895">
      <w:rPr>
        <w:rFonts w:asciiTheme="majorHAnsi" w:hAnsiTheme="majorHAnsi"/>
        <w:sz w:val="20"/>
        <w:szCs w:val="20"/>
      </w:rPr>
      <w:t xml:space="preserve">Chapter pre-print from </w:t>
    </w:r>
    <w:r w:rsidRPr="00D85895">
      <w:rPr>
        <w:rFonts w:asciiTheme="majorHAnsi" w:hAnsiTheme="majorHAnsi"/>
        <w:color w:val="000000"/>
        <w:sz w:val="20"/>
        <w:szCs w:val="20"/>
      </w:rPr>
      <w:t xml:space="preserve">J. J. </w:t>
    </w:r>
    <w:proofErr w:type="spellStart"/>
    <w:r w:rsidRPr="00D85895">
      <w:rPr>
        <w:rFonts w:asciiTheme="majorHAnsi" w:hAnsiTheme="majorHAnsi"/>
        <w:color w:val="000000"/>
        <w:sz w:val="20"/>
        <w:szCs w:val="20"/>
      </w:rPr>
      <w:t>Mintzes</w:t>
    </w:r>
    <w:proofErr w:type="spellEnd"/>
    <w:r w:rsidRPr="00D85895">
      <w:rPr>
        <w:rFonts w:asciiTheme="majorHAnsi" w:hAnsiTheme="majorHAnsi"/>
        <w:color w:val="000000"/>
        <w:sz w:val="20"/>
        <w:szCs w:val="20"/>
      </w:rPr>
      <w:t xml:space="preserve"> &amp; E. M. Walter (Eds.), </w:t>
    </w:r>
    <w:r w:rsidRPr="00D85895">
      <w:rPr>
        <w:rFonts w:asciiTheme="majorHAnsi" w:hAnsiTheme="majorHAnsi"/>
        <w:i/>
        <w:color w:val="000000"/>
        <w:sz w:val="20"/>
        <w:szCs w:val="20"/>
      </w:rPr>
      <w:t>Active learning in college science: The case for evidence-based practice</w:t>
    </w:r>
    <w:r w:rsidRPr="00D85895">
      <w:rPr>
        <w:rFonts w:asciiTheme="majorHAnsi" w:hAnsiTheme="majorHAnsi"/>
        <w:color w:val="000000"/>
        <w:sz w:val="20"/>
        <w:szCs w:val="20"/>
      </w:rPr>
      <w:t>. New York, NY: Springer Nature, forthcoming, 2019.</w:t>
    </w:r>
  </w:p>
  <w:p w:rsidR="00D85895" w:rsidRDefault="00D85895">
    <w:pPr>
      <w:pStyle w:val="Footer"/>
    </w:pPr>
  </w:p>
  <w:p w:rsidR="00D85895" w:rsidRDefault="00D85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Default="00D8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F2" w:rsidRDefault="00D26BF2" w:rsidP="00D85895">
      <w:pPr>
        <w:spacing w:line="240" w:lineRule="auto"/>
      </w:pPr>
      <w:r>
        <w:separator/>
      </w:r>
    </w:p>
  </w:footnote>
  <w:footnote w:type="continuationSeparator" w:id="0">
    <w:p w:rsidR="00D26BF2" w:rsidRDefault="00D26BF2" w:rsidP="00D85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Default="00D85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Pr="00D85895" w:rsidRDefault="00D85895" w:rsidP="00D85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95" w:rsidRDefault="00D85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55"/>
    <w:rsid w:val="0018462B"/>
    <w:rsid w:val="001F7855"/>
    <w:rsid w:val="00743F0B"/>
    <w:rsid w:val="00BC3396"/>
    <w:rsid w:val="00D26BF2"/>
    <w:rsid w:val="00D8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1D73A-0EC0-4F39-AB9F-B934A493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85895"/>
    <w:pPr>
      <w:tabs>
        <w:tab w:val="center" w:pos="4680"/>
        <w:tab w:val="right" w:pos="9360"/>
      </w:tabs>
      <w:spacing w:line="240" w:lineRule="auto"/>
    </w:pPr>
  </w:style>
  <w:style w:type="character" w:customStyle="1" w:styleId="HeaderChar">
    <w:name w:val="Header Char"/>
    <w:basedOn w:val="DefaultParagraphFont"/>
    <w:link w:val="Header"/>
    <w:uiPriority w:val="99"/>
    <w:rsid w:val="00D85895"/>
  </w:style>
  <w:style w:type="paragraph" w:styleId="Footer">
    <w:name w:val="footer"/>
    <w:basedOn w:val="Normal"/>
    <w:link w:val="FooterChar"/>
    <w:uiPriority w:val="99"/>
    <w:unhideWhenUsed/>
    <w:rsid w:val="00D85895"/>
    <w:pPr>
      <w:tabs>
        <w:tab w:val="center" w:pos="4680"/>
        <w:tab w:val="right" w:pos="9360"/>
      </w:tabs>
      <w:spacing w:line="240" w:lineRule="auto"/>
    </w:pPr>
  </w:style>
  <w:style w:type="character" w:customStyle="1" w:styleId="FooterChar">
    <w:name w:val="Footer Char"/>
    <w:basedOn w:val="DefaultParagraphFont"/>
    <w:link w:val="Footer"/>
    <w:uiPriority w:val="99"/>
    <w:rsid w:val="00D8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6493</Words>
  <Characters>37015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Mintzes</dc:creator>
  <cp:lastModifiedBy>Sarah Swatski</cp:lastModifiedBy>
  <cp:revision>2</cp:revision>
  <dcterms:created xsi:type="dcterms:W3CDTF">2018-12-11T17:55:00Z</dcterms:created>
  <dcterms:modified xsi:type="dcterms:W3CDTF">2018-12-11T17:55:00Z</dcterms:modified>
</cp:coreProperties>
</file>