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58E" w:rsidRDefault="00E4458E" w:rsidP="00151F1F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EF6402" w:rsidRDefault="00EF6402" w:rsidP="00151F1F">
      <w:pPr>
        <w:jc w:val="center"/>
        <w:rPr>
          <w:rFonts w:ascii="Arial" w:hAnsi="Arial" w:cs="Arial"/>
          <w:b/>
          <w:bCs/>
          <w:u w:val="single"/>
        </w:rPr>
      </w:pPr>
      <w:r w:rsidRPr="001517F6">
        <w:rPr>
          <w:rFonts w:ascii="Arial" w:hAnsi="Arial" w:cs="Arial"/>
          <w:b/>
          <w:bCs/>
          <w:noProof/>
        </w:rPr>
        <w:drawing>
          <wp:inline distT="0" distB="0" distL="0" distR="0" wp14:anchorId="35DE2CD4" wp14:editId="276AA340">
            <wp:extent cx="1403350" cy="797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402" w:rsidRDefault="00EF6402" w:rsidP="00151F1F">
      <w:pPr>
        <w:jc w:val="center"/>
        <w:rPr>
          <w:rFonts w:ascii="Arial" w:hAnsi="Arial" w:cs="Arial"/>
          <w:b/>
          <w:bCs/>
          <w:u w:val="single"/>
        </w:rPr>
      </w:pPr>
    </w:p>
    <w:p w:rsidR="00EF6402" w:rsidRPr="001517F6" w:rsidRDefault="00EF6402" w:rsidP="00EF640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517F6">
        <w:rPr>
          <w:rFonts w:ascii="Arial" w:hAnsi="Arial" w:cs="Arial"/>
          <w:b/>
          <w:bCs/>
          <w:sz w:val="28"/>
          <w:szCs w:val="28"/>
          <w:u w:val="single"/>
        </w:rPr>
        <w:t>Mortgage Loan Associate</w:t>
      </w:r>
      <w:r w:rsidR="001517F6">
        <w:rPr>
          <w:rFonts w:ascii="Arial" w:hAnsi="Arial" w:cs="Arial"/>
          <w:b/>
          <w:bCs/>
          <w:sz w:val="28"/>
          <w:szCs w:val="28"/>
          <w:u w:val="single"/>
        </w:rPr>
        <w:t xml:space="preserve"> Program</w:t>
      </w:r>
    </w:p>
    <w:p w:rsidR="00EF6402" w:rsidRDefault="00EF6402" w:rsidP="00151F1F">
      <w:pPr>
        <w:jc w:val="center"/>
        <w:rPr>
          <w:rFonts w:ascii="Arial" w:hAnsi="Arial" w:cs="Arial"/>
          <w:b/>
          <w:bCs/>
          <w:u w:val="single"/>
        </w:rPr>
      </w:pPr>
    </w:p>
    <w:p w:rsidR="00093866" w:rsidRPr="008E67B5" w:rsidRDefault="00093866" w:rsidP="00151F1F">
      <w:pPr>
        <w:jc w:val="center"/>
        <w:rPr>
          <w:rFonts w:ascii="Arial" w:hAnsi="Arial" w:cs="Arial"/>
          <w:b/>
          <w:bCs/>
          <w:color w:val="FF0000"/>
          <w:u w:val="single"/>
        </w:rPr>
      </w:pPr>
    </w:p>
    <w:p w:rsidR="00B07236" w:rsidRDefault="00B07236" w:rsidP="00151F1F">
      <w:pPr>
        <w:rPr>
          <w:rFonts w:ascii="Arial" w:hAnsi="Arial" w:cs="Arial"/>
        </w:rPr>
      </w:pPr>
    </w:p>
    <w:p w:rsidR="00151F1F" w:rsidRDefault="00151F1F" w:rsidP="00151F1F">
      <w:pPr>
        <w:pStyle w:val="Title"/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Job Description:</w:t>
      </w:r>
    </w:p>
    <w:p w:rsidR="0043422F" w:rsidRDefault="0043422F" w:rsidP="00151F1F">
      <w:pPr>
        <w:pStyle w:val="Title"/>
        <w:jc w:val="left"/>
        <w:rPr>
          <w:rFonts w:ascii="Arial" w:hAnsi="Arial" w:cs="Arial"/>
          <w:b/>
          <w:bCs/>
          <w:sz w:val="20"/>
          <w:szCs w:val="20"/>
        </w:rPr>
      </w:pPr>
    </w:p>
    <w:p w:rsidR="00151F1F" w:rsidRPr="008E67B5" w:rsidRDefault="005B2FAA" w:rsidP="00151F1F">
      <w:pPr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Mortgage </w:t>
      </w:r>
      <w:r w:rsidR="0079332D"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Loan </w:t>
      </w:r>
      <w:r w:rsidR="00441F75">
        <w:rPr>
          <w:rFonts w:ascii="Arial" w:hAnsi="Arial" w:cs="Arial"/>
          <w:b/>
          <w:bCs/>
          <w:color w:val="FF0000"/>
          <w:sz w:val="20"/>
          <w:szCs w:val="20"/>
          <w:u w:val="single"/>
        </w:rPr>
        <w:t>Associate</w:t>
      </w:r>
    </w:p>
    <w:p w:rsidR="00151F1F" w:rsidRDefault="00151F1F" w:rsidP="00151F1F">
      <w:pPr>
        <w:pStyle w:val="Subtitl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Leveraging our guiding principles of Client First, One Team, Profitable Growth and Executional Excellence, th</w:t>
      </w:r>
      <w:r w:rsidR="008E67B5">
        <w:rPr>
          <w:rFonts w:ascii="Arial" w:hAnsi="Arial" w:cs="Arial"/>
          <w:sz w:val="20"/>
          <w:szCs w:val="20"/>
        </w:rPr>
        <w:t xml:space="preserve">e Mortgage </w:t>
      </w:r>
      <w:r>
        <w:rPr>
          <w:rFonts w:ascii="Arial" w:hAnsi="Arial" w:cs="Arial"/>
          <w:sz w:val="20"/>
          <w:szCs w:val="20"/>
        </w:rPr>
        <w:t xml:space="preserve">Division delivers a suite of products and services </w:t>
      </w:r>
      <w:r w:rsidR="008E67B5">
        <w:rPr>
          <w:rFonts w:ascii="Arial" w:hAnsi="Arial" w:cs="Arial"/>
          <w:sz w:val="20"/>
          <w:szCs w:val="20"/>
        </w:rPr>
        <w:t xml:space="preserve">to meet the banking, borrowing, and investment needs of our clients. </w:t>
      </w:r>
      <w:r w:rsidR="005B2FAA">
        <w:rPr>
          <w:rFonts w:ascii="Arial" w:hAnsi="Arial" w:cs="Arial"/>
          <w:sz w:val="20"/>
          <w:szCs w:val="20"/>
        </w:rPr>
        <w:t xml:space="preserve">We pride ourselves on providing the tools and options they need to stay in control of their finances and to plan for the future. </w:t>
      </w:r>
    </w:p>
    <w:p w:rsidR="00441F75" w:rsidRPr="00441F75" w:rsidRDefault="005B2FAA" w:rsidP="00441F75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B2FAA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e Mortgage Associate </w:t>
      </w:r>
      <w:r w:rsidRPr="005B2FAA">
        <w:rPr>
          <w:rFonts w:ascii="Arial" w:hAnsi="Arial" w:cs="Arial"/>
          <w:sz w:val="20"/>
          <w:szCs w:val="20"/>
        </w:rPr>
        <w:t>will be responsible for</w:t>
      </w:r>
      <w:r>
        <w:rPr>
          <w:rFonts w:ascii="Arial" w:hAnsi="Arial" w:cs="Arial"/>
          <w:sz w:val="20"/>
          <w:szCs w:val="20"/>
        </w:rPr>
        <w:t xml:space="preserve"> </w:t>
      </w:r>
      <w:r w:rsidR="00441F75">
        <w:rPr>
          <w:rFonts w:ascii="Arial" w:hAnsi="Arial" w:cs="Arial"/>
          <w:sz w:val="20"/>
          <w:szCs w:val="20"/>
        </w:rPr>
        <w:t xml:space="preserve">creating and fulfilling demand to review clients mortgage needs, work with business referral sources to establish new relationships, and have close relationships with banking partners to deepen existing client relationships. </w:t>
      </w:r>
      <w:r w:rsidRPr="005B2FAA">
        <w:rPr>
          <w:rFonts w:ascii="Arial" w:hAnsi="Arial" w:cs="Arial"/>
          <w:sz w:val="20"/>
          <w:szCs w:val="20"/>
        </w:rPr>
        <w:t xml:space="preserve">This is a full-time position that will provide an in-depth understanding of the </w:t>
      </w:r>
      <w:r w:rsidR="00E51C6C">
        <w:rPr>
          <w:rFonts w:ascii="Arial" w:hAnsi="Arial" w:cs="Arial"/>
          <w:sz w:val="20"/>
          <w:szCs w:val="20"/>
        </w:rPr>
        <w:t xml:space="preserve">end to end loan process. This includes loan origination, processing, underwriting, closing and </w:t>
      </w:r>
      <w:r w:rsidRPr="005B2FAA">
        <w:rPr>
          <w:rFonts w:ascii="Arial" w:hAnsi="Arial" w:cs="Arial"/>
          <w:sz w:val="20"/>
          <w:szCs w:val="20"/>
        </w:rPr>
        <w:t xml:space="preserve">servicing functions. </w:t>
      </w:r>
    </w:p>
    <w:p w:rsidR="00151F1F" w:rsidRDefault="00151F1F" w:rsidP="00151F1F">
      <w:pPr>
        <w:pStyle w:val="Subtitle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Training and Development:</w:t>
      </w:r>
    </w:p>
    <w:p w:rsidR="00151F1F" w:rsidRDefault="00151F1F" w:rsidP="00151F1F">
      <w:pPr>
        <w:pStyle w:val="Subtitle"/>
        <w:rPr>
          <w:rFonts w:ascii="Arial" w:hAnsi="Arial" w:cs="Arial"/>
          <w:b/>
          <w:bCs/>
          <w:sz w:val="20"/>
          <w:szCs w:val="20"/>
        </w:rPr>
      </w:pPr>
    </w:p>
    <w:p w:rsidR="00151F1F" w:rsidRPr="00E51C6C" w:rsidRDefault="005B2FAA" w:rsidP="00151F1F">
      <w:pPr>
        <w:pStyle w:val="Subtitle"/>
        <w:rPr>
          <w:rFonts w:ascii="Arial" w:hAnsi="Arial" w:cs="Arial"/>
          <w:sz w:val="20"/>
          <w:szCs w:val="20"/>
        </w:rPr>
      </w:pPr>
      <w:r w:rsidRPr="00E51C6C">
        <w:rPr>
          <w:rFonts w:ascii="Arial" w:hAnsi="Arial" w:cs="Arial"/>
          <w:sz w:val="20"/>
          <w:szCs w:val="20"/>
        </w:rPr>
        <w:t xml:space="preserve">Mortgage </w:t>
      </w:r>
      <w:r w:rsidR="00E51C6C" w:rsidRPr="00E51C6C">
        <w:rPr>
          <w:rFonts w:ascii="Arial" w:hAnsi="Arial" w:cs="Arial"/>
          <w:sz w:val="20"/>
          <w:szCs w:val="20"/>
        </w:rPr>
        <w:t>Associates</w:t>
      </w:r>
      <w:r w:rsidR="00151F1F" w:rsidRPr="00E51C6C">
        <w:rPr>
          <w:rFonts w:ascii="Arial" w:hAnsi="Arial" w:cs="Arial"/>
          <w:sz w:val="20"/>
          <w:szCs w:val="20"/>
        </w:rPr>
        <w:t xml:space="preserve"> will benefit from on-the-job, online and self-directed training and develop</w:t>
      </w:r>
      <w:r w:rsidR="005B1834" w:rsidRPr="00E51C6C">
        <w:rPr>
          <w:rFonts w:ascii="Arial" w:hAnsi="Arial" w:cs="Arial"/>
          <w:sz w:val="20"/>
          <w:szCs w:val="20"/>
        </w:rPr>
        <w:t xml:space="preserve">ment opportunities.  Each </w:t>
      </w:r>
      <w:r w:rsidR="00E51C6C" w:rsidRPr="00E51C6C">
        <w:rPr>
          <w:rFonts w:ascii="Arial" w:hAnsi="Arial" w:cs="Arial"/>
          <w:sz w:val="20"/>
          <w:szCs w:val="20"/>
        </w:rPr>
        <w:t>Mortgage Associate</w:t>
      </w:r>
      <w:r w:rsidR="00151F1F" w:rsidRPr="00E51C6C">
        <w:rPr>
          <w:rFonts w:ascii="Arial" w:hAnsi="Arial" w:cs="Arial"/>
          <w:sz w:val="20"/>
          <w:szCs w:val="20"/>
        </w:rPr>
        <w:t xml:space="preserve"> will be </w:t>
      </w:r>
      <w:r w:rsidR="00E51C6C" w:rsidRPr="00E51C6C">
        <w:rPr>
          <w:rFonts w:ascii="Arial" w:hAnsi="Arial" w:cs="Arial"/>
          <w:sz w:val="20"/>
          <w:szCs w:val="20"/>
        </w:rPr>
        <w:t xml:space="preserve">part of a cohort group, and will be </w:t>
      </w:r>
      <w:r w:rsidR="00151F1F" w:rsidRPr="00E51C6C">
        <w:rPr>
          <w:rFonts w:ascii="Arial" w:hAnsi="Arial" w:cs="Arial"/>
          <w:sz w:val="20"/>
          <w:szCs w:val="20"/>
        </w:rPr>
        <w:t xml:space="preserve">paired with </w:t>
      </w:r>
      <w:r w:rsidR="00441F75">
        <w:rPr>
          <w:rFonts w:ascii="Arial" w:hAnsi="Arial" w:cs="Arial"/>
          <w:sz w:val="20"/>
          <w:szCs w:val="20"/>
        </w:rPr>
        <w:t>mentors</w:t>
      </w:r>
      <w:r w:rsidR="00E51C6C" w:rsidRPr="00E51C6C">
        <w:rPr>
          <w:rFonts w:ascii="Arial" w:hAnsi="Arial" w:cs="Arial"/>
          <w:sz w:val="20"/>
          <w:szCs w:val="20"/>
        </w:rPr>
        <w:t xml:space="preserve"> who will provide guidance </w:t>
      </w:r>
      <w:r w:rsidR="00151F1F" w:rsidRPr="00E51C6C">
        <w:rPr>
          <w:rFonts w:ascii="Arial" w:hAnsi="Arial" w:cs="Arial"/>
          <w:sz w:val="20"/>
          <w:szCs w:val="20"/>
        </w:rPr>
        <w:t>and coaching</w:t>
      </w:r>
      <w:r w:rsidR="005B1834" w:rsidRPr="00E51C6C">
        <w:rPr>
          <w:rFonts w:ascii="Arial" w:hAnsi="Arial" w:cs="Arial"/>
          <w:sz w:val="20"/>
          <w:szCs w:val="20"/>
        </w:rPr>
        <w:t xml:space="preserve"> </w:t>
      </w:r>
      <w:r w:rsidR="00E51C6C" w:rsidRPr="00E51C6C">
        <w:rPr>
          <w:rFonts w:ascii="Arial" w:hAnsi="Arial" w:cs="Arial"/>
          <w:sz w:val="20"/>
          <w:szCs w:val="20"/>
        </w:rPr>
        <w:t>throughout the</w:t>
      </w:r>
      <w:r w:rsidR="005B1834" w:rsidRPr="00E51C6C">
        <w:rPr>
          <w:rFonts w:ascii="Arial" w:hAnsi="Arial" w:cs="Arial"/>
          <w:sz w:val="20"/>
          <w:szCs w:val="20"/>
        </w:rPr>
        <w:t xml:space="preserve"> </w:t>
      </w:r>
      <w:r w:rsidR="00441F75">
        <w:rPr>
          <w:rFonts w:ascii="Arial" w:hAnsi="Arial" w:cs="Arial"/>
          <w:sz w:val="20"/>
          <w:szCs w:val="20"/>
        </w:rPr>
        <w:t xml:space="preserve">9-12 </w:t>
      </w:r>
      <w:r w:rsidR="005B1834" w:rsidRPr="00E51C6C">
        <w:rPr>
          <w:rFonts w:ascii="Arial" w:hAnsi="Arial" w:cs="Arial"/>
          <w:sz w:val="20"/>
          <w:szCs w:val="20"/>
        </w:rPr>
        <w:t>month</w:t>
      </w:r>
      <w:r w:rsidR="00E51C6C" w:rsidRPr="00E51C6C">
        <w:rPr>
          <w:rFonts w:ascii="Arial" w:hAnsi="Arial" w:cs="Arial"/>
          <w:sz w:val="20"/>
          <w:szCs w:val="20"/>
        </w:rPr>
        <w:t xml:space="preserve"> training program</w:t>
      </w:r>
      <w:r w:rsidR="00151F1F" w:rsidRPr="00E51C6C">
        <w:rPr>
          <w:rFonts w:ascii="Arial" w:hAnsi="Arial" w:cs="Arial"/>
          <w:sz w:val="20"/>
          <w:szCs w:val="20"/>
        </w:rPr>
        <w:t>.  Addi</w:t>
      </w:r>
      <w:r w:rsidR="005B1834" w:rsidRPr="00E51C6C">
        <w:rPr>
          <w:rFonts w:ascii="Arial" w:hAnsi="Arial" w:cs="Arial"/>
          <w:sz w:val="20"/>
          <w:szCs w:val="20"/>
        </w:rPr>
        <w:t xml:space="preserve">tionally Mortgage </w:t>
      </w:r>
      <w:r w:rsidR="00E51C6C" w:rsidRPr="00E51C6C">
        <w:rPr>
          <w:rFonts w:ascii="Arial" w:hAnsi="Arial" w:cs="Arial"/>
          <w:sz w:val="20"/>
          <w:szCs w:val="20"/>
        </w:rPr>
        <w:t>Associates</w:t>
      </w:r>
      <w:r w:rsidR="00151F1F" w:rsidRPr="00E51C6C">
        <w:rPr>
          <w:rFonts w:ascii="Arial" w:hAnsi="Arial" w:cs="Arial"/>
          <w:sz w:val="20"/>
          <w:szCs w:val="20"/>
        </w:rPr>
        <w:t xml:space="preserve"> will participate in activities like community involvement projects and networking events, and they will gain leadership insigh</w:t>
      </w:r>
      <w:r w:rsidR="005B1834" w:rsidRPr="00E51C6C">
        <w:rPr>
          <w:rFonts w:ascii="Arial" w:hAnsi="Arial" w:cs="Arial"/>
          <w:sz w:val="20"/>
          <w:szCs w:val="20"/>
        </w:rPr>
        <w:t>t and exposure through a rotational</w:t>
      </w:r>
      <w:r w:rsidR="00151F1F" w:rsidRPr="00E51C6C">
        <w:rPr>
          <w:rFonts w:ascii="Arial" w:hAnsi="Arial" w:cs="Arial"/>
          <w:sz w:val="20"/>
          <w:szCs w:val="20"/>
        </w:rPr>
        <w:t xml:space="preserve"> series</w:t>
      </w:r>
      <w:r w:rsidR="00E51C6C" w:rsidRPr="00E51C6C">
        <w:rPr>
          <w:rFonts w:ascii="Arial" w:hAnsi="Arial" w:cs="Arial"/>
          <w:sz w:val="20"/>
          <w:szCs w:val="20"/>
        </w:rPr>
        <w:t xml:space="preserve"> through different departments.</w:t>
      </w:r>
    </w:p>
    <w:p w:rsidR="00151F1F" w:rsidRDefault="00151F1F" w:rsidP="00151F1F">
      <w:pPr>
        <w:pStyle w:val="Subtitle"/>
        <w:rPr>
          <w:rFonts w:ascii="Arial" w:hAnsi="Arial" w:cs="Arial"/>
          <w:sz w:val="20"/>
          <w:szCs w:val="20"/>
          <w:highlight w:val="yellow"/>
        </w:rPr>
      </w:pPr>
    </w:p>
    <w:p w:rsidR="00151F1F" w:rsidRPr="00151F1F" w:rsidRDefault="00151F1F" w:rsidP="00151F1F">
      <w:pPr>
        <w:pStyle w:val="BodyText"/>
        <w:rPr>
          <w:rFonts w:ascii="Arial" w:hAnsi="Arial" w:cs="Arial"/>
          <w:b/>
          <w:bCs/>
        </w:rPr>
      </w:pPr>
      <w:r w:rsidRPr="00151F1F">
        <w:rPr>
          <w:rFonts w:ascii="Arial" w:hAnsi="Arial" w:cs="Arial"/>
          <w:b/>
          <w:bCs/>
        </w:rPr>
        <w:t>Qualifications:</w:t>
      </w:r>
    </w:p>
    <w:p w:rsidR="00474688" w:rsidRPr="00474688" w:rsidRDefault="00474688" w:rsidP="00474688">
      <w:pPr>
        <w:numPr>
          <w:ilvl w:val="0"/>
          <w:numId w:val="4"/>
        </w:numPr>
        <w:rPr>
          <w:rFonts w:ascii="Arial" w:hAnsi="Arial" w:cs="Arial"/>
        </w:rPr>
      </w:pPr>
      <w:r w:rsidRPr="00474688">
        <w:rPr>
          <w:rFonts w:ascii="Arial" w:hAnsi="Arial" w:cs="Arial"/>
        </w:rPr>
        <w:t xml:space="preserve">College degree in business field preferred, all degrees considered </w:t>
      </w:r>
    </w:p>
    <w:p w:rsidR="00474688" w:rsidRPr="00474688" w:rsidRDefault="00474688" w:rsidP="00474688">
      <w:pPr>
        <w:numPr>
          <w:ilvl w:val="0"/>
          <w:numId w:val="4"/>
        </w:numPr>
        <w:rPr>
          <w:rFonts w:ascii="Arial" w:hAnsi="Arial" w:cs="Arial"/>
        </w:rPr>
      </w:pPr>
      <w:r w:rsidRPr="00474688">
        <w:rPr>
          <w:rFonts w:ascii="Arial" w:hAnsi="Arial" w:cs="Arial"/>
        </w:rPr>
        <w:t>Strong academic performance, GPA 3.0 or higher</w:t>
      </w:r>
    </w:p>
    <w:p w:rsidR="00474688" w:rsidRPr="00474688" w:rsidRDefault="00474688" w:rsidP="00474688">
      <w:pPr>
        <w:numPr>
          <w:ilvl w:val="0"/>
          <w:numId w:val="4"/>
        </w:numPr>
        <w:rPr>
          <w:rFonts w:ascii="Arial" w:hAnsi="Arial" w:cs="Arial"/>
        </w:rPr>
      </w:pPr>
      <w:r w:rsidRPr="00474688">
        <w:rPr>
          <w:rFonts w:ascii="Arial" w:hAnsi="Arial" w:cs="Arial"/>
        </w:rPr>
        <w:t>Previous customer service experience preferred</w:t>
      </w:r>
    </w:p>
    <w:p w:rsidR="00474688" w:rsidRPr="00474688" w:rsidRDefault="00474688" w:rsidP="00474688">
      <w:pPr>
        <w:numPr>
          <w:ilvl w:val="0"/>
          <w:numId w:val="4"/>
        </w:numPr>
        <w:rPr>
          <w:rFonts w:ascii="Arial" w:hAnsi="Arial" w:cs="Arial"/>
        </w:rPr>
      </w:pPr>
      <w:r w:rsidRPr="00474688">
        <w:rPr>
          <w:rFonts w:ascii="Arial" w:hAnsi="Arial" w:cs="Arial"/>
        </w:rPr>
        <w:t>Action oriented leadership</w:t>
      </w:r>
    </w:p>
    <w:p w:rsidR="00474688" w:rsidRPr="00474688" w:rsidRDefault="00474688" w:rsidP="00474688">
      <w:pPr>
        <w:numPr>
          <w:ilvl w:val="0"/>
          <w:numId w:val="4"/>
        </w:numPr>
        <w:rPr>
          <w:rFonts w:ascii="Arial" w:hAnsi="Arial" w:cs="Arial"/>
        </w:rPr>
      </w:pPr>
      <w:r w:rsidRPr="00474688">
        <w:rPr>
          <w:rFonts w:ascii="Arial" w:hAnsi="Arial" w:cs="Arial"/>
        </w:rPr>
        <w:t>Relationship building aptitude</w:t>
      </w:r>
    </w:p>
    <w:p w:rsidR="00474688" w:rsidRPr="00474688" w:rsidRDefault="00474688" w:rsidP="0047468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474688">
        <w:rPr>
          <w:rFonts w:ascii="Arial" w:hAnsi="Arial" w:cs="Arial"/>
        </w:rPr>
        <w:t>Sales and analytical capabilities</w:t>
      </w:r>
    </w:p>
    <w:p w:rsidR="00474688" w:rsidRPr="00474688" w:rsidRDefault="00474688" w:rsidP="0047468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/>
        </w:rPr>
      </w:pPr>
      <w:r w:rsidRPr="00474688">
        <w:rPr>
          <w:rFonts w:ascii="Arial" w:hAnsi="Arial" w:cs="Arial"/>
        </w:rPr>
        <w:t>Superior written and oral communication skills</w:t>
      </w:r>
    </w:p>
    <w:p w:rsidR="00474688" w:rsidRPr="00474688" w:rsidRDefault="00474688" w:rsidP="00474688">
      <w:pPr>
        <w:numPr>
          <w:ilvl w:val="0"/>
          <w:numId w:val="4"/>
        </w:numPr>
        <w:rPr>
          <w:rFonts w:ascii="Arial" w:hAnsi="Arial" w:cs="Arial"/>
        </w:rPr>
      </w:pPr>
      <w:r w:rsidRPr="00474688">
        <w:rPr>
          <w:rFonts w:ascii="Arial" w:hAnsi="Arial" w:cs="Arial"/>
        </w:rPr>
        <w:t>Proven team player in group environments</w:t>
      </w:r>
    </w:p>
    <w:p w:rsidR="00151F1F" w:rsidRDefault="00151F1F" w:rsidP="00151F1F">
      <w:pPr>
        <w:jc w:val="both"/>
        <w:rPr>
          <w:rFonts w:ascii="Arial" w:hAnsi="Arial" w:cs="Arial"/>
          <w:sz w:val="20"/>
          <w:szCs w:val="20"/>
        </w:rPr>
      </w:pPr>
    </w:p>
    <w:p w:rsidR="00151F1F" w:rsidRDefault="00151F1F" w:rsidP="00151F1F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2971D0">
        <w:rPr>
          <w:rFonts w:ascii="Arial" w:hAnsi="Arial" w:cs="Arial"/>
          <w:b/>
          <w:bCs/>
          <w:color w:val="FF0000"/>
          <w:sz w:val="20"/>
          <w:szCs w:val="20"/>
        </w:rPr>
        <w:t>Location:</w:t>
      </w:r>
      <w:r w:rsidRPr="002971D0">
        <w:rPr>
          <w:rFonts w:ascii="Arial" w:hAnsi="Arial" w:cs="Arial"/>
          <w:color w:val="FF0000"/>
          <w:sz w:val="20"/>
          <w:szCs w:val="20"/>
        </w:rPr>
        <w:t xml:space="preserve"> SunTru</w:t>
      </w:r>
      <w:r w:rsidR="008E67B5" w:rsidRPr="002971D0">
        <w:rPr>
          <w:rFonts w:ascii="Arial" w:hAnsi="Arial" w:cs="Arial"/>
          <w:color w:val="FF0000"/>
          <w:sz w:val="20"/>
          <w:szCs w:val="20"/>
        </w:rPr>
        <w:t>st Mortgage Headquarters- Richmond, VA</w:t>
      </w:r>
      <w:r w:rsidR="00E51C6C">
        <w:rPr>
          <w:rFonts w:ascii="Arial" w:hAnsi="Arial" w:cs="Arial"/>
          <w:color w:val="FF0000"/>
          <w:sz w:val="20"/>
          <w:szCs w:val="20"/>
        </w:rPr>
        <w:t xml:space="preserve">. Upon completion of the training program, teammates will be placed in </w:t>
      </w:r>
      <w:r w:rsidR="00E05C38">
        <w:rPr>
          <w:rFonts w:ascii="Arial" w:hAnsi="Arial" w:cs="Arial"/>
          <w:color w:val="FF0000"/>
          <w:sz w:val="20"/>
          <w:szCs w:val="20"/>
        </w:rPr>
        <w:t>their permanent field location</w:t>
      </w:r>
      <w:r w:rsidR="00474688">
        <w:rPr>
          <w:rFonts w:ascii="Arial" w:hAnsi="Arial" w:cs="Arial"/>
          <w:color w:val="FF0000"/>
          <w:sz w:val="20"/>
          <w:szCs w:val="20"/>
        </w:rPr>
        <w:t xml:space="preserve"> which may include Atlanta, Orlando, Nashville, Carolinas, Virginia, </w:t>
      </w:r>
      <w:proofErr w:type="gramStart"/>
      <w:r w:rsidR="00474688">
        <w:rPr>
          <w:rFonts w:ascii="Arial" w:hAnsi="Arial" w:cs="Arial"/>
          <w:color w:val="FF0000"/>
          <w:sz w:val="20"/>
          <w:szCs w:val="20"/>
        </w:rPr>
        <w:t>DC</w:t>
      </w:r>
      <w:proofErr w:type="gramEnd"/>
      <w:r w:rsidR="00474688">
        <w:rPr>
          <w:rFonts w:ascii="Arial" w:hAnsi="Arial" w:cs="Arial"/>
          <w:color w:val="FF0000"/>
          <w:sz w:val="20"/>
          <w:szCs w:val="20"/>
        </w:rPr>
        <w:t xml:space="preserve"> Metro.</w:t>
      </w:r>
    </w:p>
    <w:p w:rsidR="00923589" w:rsidRDefault="00923589" w:rsidP="00151F1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923589" w:rsidRPr="00B21718" w:rsidRDefault="00923589" w:rsidP="00923589">
      <w:pPr>
        <w:rPr>
          <w:rFonts w:ascii="Arial" w:hAnsi="Arial" w:cs="Arial"/>
          <w:sz w:val="20"/>
          <w:szCs w:val="20"/>
        </w:rPr>
      </w:pPr>
      <w:r w:rsidRPr="00B21718">
        <w:rPr>
          <w:rFonts w:ascii="Arial" w:hAnsi="Arial" w:cs="Arial"/>
          <w:sz w:val="20"/>
          <w:szCs w:val="20"/>
        </w:rPr>
        <w:t>“Employment visa sponsorship for this position is unavailable.”</w:t>
      </w:r>
    </w:p>
    <w:p w:rsidR="00923589" w:rsidRDefault="00923589" w:rsidP="00923589">
      <w:pPr>
        <w:pStyle w:val="ListParagraph"/>
        <w:jc w:val="both"/>
        <w:rPr>
          <w:rFonts w:ascii="Arial" w:hAnsi="Arial" w:cs="Arial"/>
          <w:color w:val="000000"/>
          <w:sz w:val="20"/>
          <w:szCs w:val="20"/>
        </w:rPr>
      </w:pPr>
    </w:p>
    <w:p w:rsidR="00923589" w:rsidRDefault="00923589" w:rsidP="009235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SunTrust is only able to consider candidates that are permanently eligible to work in the United States.</w:t>
      </w:r>
    </w:p>
    <w:p w:rsidR="001517F6" w:rsidRPr="00E4458E" w:rsidRDefault="001517F6" w:rsidP="00151F1F">
      <w:pPr>
        <w:pStyle w:val="Subtitle"/>
        <w:rPr>
          <w:rFonts w:ascii="Arial" w:hAnsi="Arial" w:cs="Arial"/>
          <w:sz w:val="20"/>
          <w:szCs w:val="20"/>
        </w:rPr>
      </w:pPr>
    </w:p>
    <w:p w:rsidR="00151F1F" w:rsidRPr="00E4458E" w:rsidRDefault="00151F1F" w:rsidP="00151F1F">
      <w:pPr>
        <w:pStyle w:val="BodyText"/>
        <w:rPr>
          <w:rFonts w:ascii="Arial" w:hAnsi="Arial" w:cs="Arial"/>
          <w:b/>
          <w:bCs/>
        </w:rPr>
      </w:pPr>
      <w:r w:rsidRPr="00E4458E">
        <w:rPr>
          <w:rFonts w:ascii="Arial" w:hAnsi="Arial" w:cs="Arial"/>
          <w:b/>
          <w:bCs/>
        </w:rPr>
        <w:t>SunTrust supports a diverse workforce and is a Drug Testing and Equal Opportunity Employer, M/F/D/V.</w:t>
      </w:r>
    </w:p>
    <w:sectPr w:rsidR="00151F1F" w:rsidRPr="00E4458E" w:rsidSect="00B21718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 Demi (P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Avant Garde Gothic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6262"/>
    <w:multiLevelType w:val="hybridMultilevel"/>
    <w:tmpl w:val="332C7E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1673D"/>
    <w:multiLevelType w:val="hybridMultilevel"/>
    <w:tmpl w:val="C3287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56F3D"/>
    <w:multiLevelType w:val="hybridMultilevel"/>
    <w:tmpl w:val="7EA60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85ADF"/>
    <w:multiLevelType w:val="hybridMultilevel"/>
    <w:tmpl w:val="E07C71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770840"/>
    <w:multiLevelType w:val="hybridMultilevel"/>
    <w:tmpl w:val="B424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F1F"/>
    <w:rsid w:val="00093866"/>
    <w:rsid w:val="001517F6"/>
    <w:rsid w:val="00151F1F"/>
    <w:rsid w:val="002834A0"/>
    <w:rsid w:val="002971D0"/>
    <w:rsid w:val="0043422F"/>
    <w:rsid w:val="00441F75"/>
    <w:rsid w:val="00474688"/>
    <w:rsid w:val="004E7B23"/>
    <w:rsid w:val="005B1834"/>
    <w:rsid w:val="005B2FAA"/>
    <w:rsid w:val="006A564B"/>
    <w:rsid w:val="0073216E"/>
    <w:rsid w:val="0079332D"/>
    <w:rsid w:val="00797273"/>
    <w:rsid w:val="008E67B5"/>
    <w:rsid w:val="00923589"/>
    <w:rsid w:val="009A016A"/>
    <w:rsid w:val="00B07236"/>
    <w:rsid w:val="00B21718"/>
    <w:rsid w:val="00BD6545"/>
    <w:rsid w:val="00C06BC2"/>
    <w:rsid w:val="00C63EDF"/>
    <w:rsid w:val="00CB133C"/>
    <w:rsid w:val="00D31C57"/>
    <w:rsid w:val="00E02143"/>
    <w:rsid w:val="00E05C38"/>
    <w:rsid w:val="00E4458E"/>
    <w:rsid w:val="00E51C6C"/>
    <w:rsid w:val="00EF6402"/>
    <w:rsid w:val="00FC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1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1F1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51F1F"/>
    <w:pPr>
      <w:jc w:val="center"/>
    </w:pPr>
    <w:rPr>
      <w:rFonts w:ascii="ITC Avant Garde Gothic Demi (PC" w:hAnsi="ITC Avant Garde Gothic Demi (PC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51F1F"/>
    <w:rPr>
      <w:rFonts w:ascii="ITC Avant Garde Gothic Demi (PC" w:hAnsi="ITC Avant Garde Gothic Demi (PC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51F1F"/>
    <w:rPr>
      <w:rFonts w:ascii="ITC Avant Garde Gothic (PCL6)" w:hAnsi="ITC Avant Garde Gothic (PCL6)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F1F"/>
    <w:rPr>
      <w:rFonts w:ascii="ITC Avant Garde Gothic (PCL6)" w:hAnsi="ITC Avant Garde Gothic (PCL6)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151F1F"/>
    <w:rPr>
      <w:rFonts w:ascii="ITC Avant Garde Gothic Demi (PC" w:hAnsi="ITC Avant Garde Gothic Demi (PC"/>
    </w:rPr>
  </w:style>
  <w:style w:type="character" w:customStyle="1" w:styleId="SubtitleChar">
    <w:name w:val="Subtitle Char"/>
    <w:basedOn w:val="DefaultParagraphFont"/>
    <w:link w:val="Subtitle"/>
    <w:uiPriority w:val="99"/>
    <w:rsid w:val="00151F1F"/>
    <w:rPr>
      <w:rFonts w:ascii="ITC Avant Garde Gothic Demi (PC" w:hAnsi="ITC Avant Garde Gothic Demi (PC" w:cs="Times New Roman"/>
    </w:rPr>
  </w:style>
  <w:style w:type="paragraph" w:styleId="ListParagraph">
    <w:name w:val="List Paragraph"/>
    <w:basedOn w:val="Normal"/>
    <w:uiPriority w:val="34"/>
    <w:qFormat/>
    <w:rsid w:val="00151F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F1F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51F1F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151F1F"/>
    <w:pPr>
      <w:jc w:val="center"/>
    </w:pPr>
    <w:rPr>
      <w:rFonts w:ascii="ITC Avant Garde Gothic Demi (PC" w:hAnsi="ITC Avant Garde Gothic Demi (PC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151F1F"/>
    <w:rPr>
      <w:rFonts w:ascii="ITC Avant Garde Gothic Demi (PC" w:hAnsi="ITC Avant Garde Gothic Demi (PC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51F1F"/>
    <w:rPr>
      <w:rFonts w:ascii="ITC Avant Garde Gothic (PCL6)" w:hAnsi="ITC Avant Garde Gothic (PCL6)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1F1F"/>
    <w:rPr>
      <w:rFonts w:ascii="ITC Avant Garde Gothic (PCL6)" w:hAnsi="ITC Avant Garde Gothic (PCL6)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151F1F"/>
    <w:rPr>
      <w:rFonts w:ascii="ITC Avant Garde Gothic Demi (PC" w:hAnsi="ITC Avant Garde Gothic Demi (PC"/>
    </w:rPr>
  </w:style>
  <w:style w:type="character" w:customStyle="1" w:styleId="SubtitleChar">
    <w:name w:val="Subtitle Char"/>
    <w:basedOn w:val="DefaultParagraphFont"/>
    <w:link w:val="Subtitle"/>
    <w:uiPriority w:val="99"/>
    <w:rsid w:val="00151F1F"/>
    <w:rPr>
      <w:rFonts w:ascii="ITC Avant Garde Gothic Demi (PC" w:hAnsi="ITC Avant Garde Gothic Demi (PC" w:cs="Times New Roman"/>
    </w:rPr>
  </w:style>
  <w:style w:type="paragraph" w:styleId="ListParagraph">
    <w:name w:val="List Paragraph"/>
    <w:basedOn w:val="Normal"/>
    <w:uiPriority w:val="34"/>
    <w:qFormat/>
    <w:rsid w:val="00151F1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SunTrust Banks, Inc.</Company>
  <LinksUpToDate>false</LinksUpToDate>
  <CharactersWithSpaces>2331</CharactersWithSpaces>
  <SharedDoc>false</SharedDoc>
  <HLinks>
    <vt:vector size="6" baseType="variant">
      <vt:variant>
        <vt:i4>3080234</vt:i4>
      </vt:variant>
      <vt:variant>
        <vt:i4>0</vt:i4>
      </vt:variant>
      <vt:variant>
        <vt:i4>0</vt:i4>
      </vt:variant>
      <vt:variant>
        <vt:i4>5</vt:i4>
      </vt:variant>
      <vt:variant>
        <vt:lpwstr>http://www.suntrust.com/Careers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ugeh86</dc:creator>
  <cp:lastModifiedBy>Windows User</cp:lastModifiedBy>
  <cp:revision>2</cp:revision>
  <cp:lastPrinted>2015-09-10T19:08:00Z</cp:lastPrinted>
  <dcterms:created xsi:type="dcterms:W3CDTF">2015-11-06T17:01:00Z</dcterms:created>
  <dcterms:modified xsi:type="dcterms:W3CDTF">2015-11-06T17:01:00Z</dcterms:modified>
</cp:coreProperties>
</file>